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F597A" w14:textId="708B366E" w:rsidR="00C36A68" w:rsidRPr="00804C33" w:rsidRDefault="00C36A68" w:rsidP="00804C33">
      <w:pPr>
        <w:pStyle w:val="Heading1"/>
        <w:jc w:val="center"/>
        <w:rPr>
          <w:rStyle w:val="SubtleReference"/>
          <w:rFonts w:ascii="Calibri" w:hAnsi="Calibri" w:cs="Calibri"/>
          <w:smallCaps w:val="0"/>
          <w:color w:val="0F4761" w:themeColor="accent1" w:themeShade="BF"/>
          <w:sz w:val="24"/>
          <w:szCs w:val="24"/>
        </w:rPr>
      </w:pPr>
      <w:r w:rsidRPr="00804C33">
        <w:rPr>
          <w:rFonts w:ascii="Calibri" w:hAnsi="Calibri" w:cs="Calibri"/>
          <w:sz w:val="24"/>
          <w:szCs w:val="24"/>
        </w:rPr>
        <w:t>Putting Patients First - Modernising the Health Workforce</w:t>
      </w:r>
    </w:p>
    <w:p w14:paraId="3E3D841F" w14:textId="734FE000" w:rsidR="00C36A68" w:rsidRPr="00804C33" w:rsidRDefault="00593116" w:rsidP="00804C33">
      <w:pPr>
        <w:jc w:val="both"/>
        <w:rPr>
          <w:rFonts w:ascii="Calibri" w:hAnsi="Calibri" w:cs="Calibri"/>
          <w:sz w:val="21"/>
          <w:szCs w:val="21"/>
        </w:rPr>
      </w:pPr>
      <w:r>
        <w:rPr>
          <w:rFonts w:ascii="Calibri" w:hAnsi="Calibri" w:cs="Calibri"/>
          <w:sz w:val="21"/>
          <w:szCs w:val="21"/>
        </w:rPr>
        <w:pict w14:anchorId="2995CFC1">
          <v:rect id="_x0000_i1025" style="width:0;height:1.5pt" o:hralign="center" o:hrstd="t" o:hr="t" fillcolor="#a0a0a0" stroked="f"/>
        </w:pict>
      </w:r>
    </w:p>
    <w:p w14:paraId="60C858F4"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Introduction</w:t>
      </w:r>
    </w:p>
    <w:p w14:paraId="01096A0D" w14:textId="71746730" w:rsidR="00C36A68" w:rsidRPr="00804C33" w:rsidRDefault="00C36A68" w:rsidP="00804C33">
      <w:pPr>
        <w:jc w:val="both"/>
        <w:rPr>
          <w:rFonts w:ascii="Calibri" w:hAnsi="Calibri" w:cs="Calibri"/>
          <w:sz w:val="21"/>
          <w:szCs w:val="21"/>
        </w:rPr>
      </w:pPr>
      <w:r w:rsidRPr="00804C33">
        <w:rPr>
          <w:rFonts w:ascii="Calibri" w:hAnsi="Calibri" w:cs="Calibri"/>
          <w:sz w:val="21"/>
          <w:szCs w:val="21"/>
        </w:rPr>
        <w:t xml:space="preserve">This submission is made in response to the Ministry of Health’s consultation on </w:t>
      </w:r>
      <w:r w:rsidRPr="00804C33">
        <w:rPr>
          <w:rFonts w:ascii="Calibri" w:hAnsi="Calibri" w:cs="Calibri"/>
          <w:i/>
          <w:iCs/>
          <w:sz w:val="21"/>
          <w:szCs w:val="21"/>
        </w:rPr>
        <w:t>Putting Patients First - Modernising Health Workforce Regulation</w:t>
      </w:r>
      <w:r w:rsidRPr="00804C33">
        <w:rPr>
          <w:rFonts w:ascii="Calibri" w:hAnsi="Calibri" w:cs="Calibri"/>
          <w:sz w:val="21"/>
          <w:szCs w:val="21"/>
        </w:rPr>
        <w:t>. The perspectives presented here reflect decades of professional experience in regulated healthcare practice in Aotearoa New Zealand, with a strong emphasis on public safety, high standards of care, and effective regulation. As a member of the regulated health workforce, I have witnessed first-hand the importance of effective regulation and the critical role it plays in public safety and professional accountability.</w:t>
      </w:r>
    </w:p>
    <w:p w14:paraId="4137453F" w14:textId="266C4499" w:rsidR="00C36A68" w:rsidRPr="00804C33" w:rsidRDefault="00593116" w:rsidP="00804C33">
      <w:pPr>
        <w:jc w:val="both"/>
        <w:rPr>
          <w:rFonts w:ascii="Calibri" w:hAnsi="Calibri" w:cs="Calibri"/>
          <w:sz w:val="21"/>
          <w:szCs w:val="21"/>
        </w:rPr>
      </w:pPr>
      <w:r>
        <w:rPr>
          <w:rFonts w:ascii="Calibri" w:hAnsi="Calibri" w:cs="Calibri"/>
          <w:sz w:val="21"/>
          <w:szCs w:val="21"/>
        </w:rPr>
        <w:pict w14:anchorId="4A39CCA2">
          <v:rect id="_x0000_i1026" style="width:0;height:1.5pt" o:hralign="center" o:hrstd="t" o:hr="t" fillcolor="#a0a0a0" stroked="f"/>
        </w:pict>
      </w:r>
    </w:p>
    <w:p w14:paraId="05932257"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 Patient-Centred Regulation</w:t>
      </w:r>
    </w:p>
    <w:p w14:paraId="43D0E231" w14:textId="77777777" w:rsidR="00C36A68" w:rsidRPr="00804C33" w:rsidRDefault="00C36A68" w:rsidP="00804C33">
      <w:pPr>
        <w:jc w:val="both"/>
        <w:rPr>
          <w:rFonts w:ascii="Calibri" w:hAnsi="Calibri" w:cs="Calibri"/>
          <w:sz w:val="21"/>
          <w:szCs w:val="21"/>
        </w:rPr>
      </w:pPr>
      <w:r w:rsidRPr="00804C33">
        <w:rPr>
          <w:rFonts w:ascii="Calibri" w:hAnsi="Calibri" w:cs="Calibri"/>
          <w:sz w:val="21"/>
          <w:szCs w:val="21"/>
        </w:rPr>
        <w:t>New Zealand’s regulatory model, through the Health Practitioners Competence Assurance Act 2003 (HPCA Act), is already strongly aligned with patient-centred care. The Act prioritises the health and safety of the public by ensuring that health practitioners are competent and fit to practise.</w:t>
      </w:r>
    </w:p>
    <w:p w14:paraId="3F823C21" w14:textId="79C57516" w:rsidR="00C36A68" w:rsidRPr="00804C33" w:rsidRDefault="00C36A68" w:rsidP="00804C33">
      <w:pPr>
        <w:jc w:val="both"/>
        <w:rPr>
          <w:rFonts w:ascii="Calibri" w:hAnsi="Calibri" w:cs="Calibri"/>
          <w:sz w:val="21"/>
          <w:szCs w:val="21"/>
        </w:rPr>
      </w:pPr>
      <w:r w:rsidRPr="00804C33">
        <w:rPr>
          <w:rFonts w:ascii="Calibri" w:hAnsi="Calibri" w:cs="Calibri"/>
          <w:sz w:val="21"/>
          <w:szCs w:val="21"/>
        </w:rPr>
        <w:t>The suggestion that regulators should also address broader systemic issues such as service access, wait times, and workforce availability confuses the role of regulators with that of funders and service providers. These systemic issues fall under the purview of Te Whatu Ora, the Ministry of Health, and other planning and funding bodies. Broadening the scope of regulators to include these elements risks undermining their</w:t>
      </w:r>
      <w:r w:rsidR="00AF79F4" w:rsidRPr="00804C33">
        <w:rPr>
          <w:rFonts w:ascii="Calibri" w:hAnsi="Calibri" w:cs="Calibri"/>
          <w:sz w:val="21"/>
          <w:szCs w:val="21"/>
        </w:rPr>
        <w:t xml:space="preserve"> [Regulators]</w:t>
      </w:r>
      <w:r w:rsidRPr="00804C33">
        <w:rPr>
          <w:rFonts w:ascii="Calibri" w:hAnsi="Calibri" w:cs="Calibri"/>
          <w:sz w:val="21"/>
          <w:szCs w:val="21"/>
        </w:rPr>
        <w:t xml:space="preserve"> core focus: safeguarding public safety through rigorous professional oversight.</w:t>
      </w:r>
    </w:p>
    <w:p w14:paraId="5CA512BF" w14:textId="02A65DA1" w:rsidR="00C36A68" w:rsidRPr="00804C33" w:rsidRDefault="00C36A68" w:rsidP="00804C33">
      <w:pPr>
        <w:jc w:val="both"/>
        <w:rPr>
          <w:rFonts w:ascii="Calibri" w:hAnsi="Calibri" w:cs="Calibri"/>
          <w:sz w:val="21"/>
          <w:szCs w:val="21"/>
        </w:rPr>
      </w:pPr>
      <w:r w:rsidRPr="00804C33">
        <w:rPr>
          <w:rFonts w:ascii="Calibri" w:hAnsi="Calibri" w:cs="Calibri"/>
          <w:sz w:val="21"/>
          <w:szCs w:val="21"/>
        </w:rPr>
        <w:t>Regulators, including the Nursing Council of New Zealand (NCNZ), already embed principles of cultural safety, patient engagement, and ethics into their practice standards. Any additional focus on "patient-centredness" must not detract from their primary regulatory purpose.</w:t>
      </w:r>
    </w:p>
    <w:p w14:paraId="2389E2A2"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2. Streamlined Regulation</w:t>
      </w:r>
    </w:p>
    <w:p w14:paraId="707086C8" w14:textId="31193F9F" w:rsidR="00C36A68" w:rsidRPr="00804C33" w:rsidRDefault="00AF79F4" w:rsidP="00804C33">
      <w:pPr>
        <w:jc w:val="both"/>
        <w:rPr>
          <w:rFonts w:ascii="Calibri" w:hAnsi="Calibri" w:cs="Calibri"/>
          <w:sz w:val="21"/>
          <w:szCs w:val="21"/>
        </w:rPr>
      </w:pPr>
      <w:r w:rsidRPr="00804C33">
        <w:rPr>
          <w:rFonts w:ascii="Calibri" w:hAnsi="Calibri" w:cs="Calibri"/>
          <w:sz w:val="21"/>
          <w:szCs w:val="21"/>
        </w:rPr>
        <w:t>Many h</w:t>
      </w:r>
      <w:r w:rsidR="00C36A68" w:rsidRPr="00804C33">
        <w:rPr>
          <w:rFonts w:ascii="Calibri" w:hAnsi="Calibri" w:cs="Calibri"/>
          <w:sz w:val="21"/>
          <w:szCs w:val="21"/>
        </w:rPr>
        <w:t>ealth regulators have taken proactive steps to reduce costs and administrative duplication. Several, including the NCNZ, share services such as IT systems, legal advice, and meeting infrastructure with other regulators. These efficiencies have been developed without compromising professional independence or sector-specific expertise.</w:t>
      </w:r>
    </w:p>
    <w:p w14:paraId="27EF94E1" w14:textId="77777777" w:rsidR="00C36A68" w:rsidRPr="00804C33" w:rsidRDefault="00C36A68" w:rsidP="00804C33">
      <w:pPr>
        <w:jc w:val="both"/>
        <w:rPr>
          <w:rFonts w:ascii="Calibri" w:hAnsi="Calibri" w:cs="Calibri"/>
          <w:sz w:val="21"/>
          <w:szCs w:val="21"/>
        </w:rPr>
      </w:pPr>
      <w:r w:rsidRPr="00804C33">
        <w:rPr>
          <w:rFonts w:ascii="Calibri" w:hAnsi="Calibri" w:cs="Calibri"/>
          <w:sz w:val="21"/>
          <w:szCs w:val="21"/>
        </w:rPr>
        <w:t>The consultation document lacks empirical evidence to support claims that current arrangements are inefficient. Disrupting these structures without a clear, evidence-based rationale could fragment regulatory functions, create confusion among practitioners, and ultimately compromise patient safety.</w:t>
      </w:r>
    </w:p>
    <w:p w14:paraId="2F4BA857" w14:textId="43629B9E" w:rsidR="00C36A68" w:rsidRPr="00804C33" w:rsidRDefault="00C36A68" w:rsidP="00804C33">
      <w:pPr>
        <w:jc w:val="both"/>
        <w:rPr>
          <w:rFonts w:ascii="Calibri" w:hAnsi="Calibri" w:cs="Calibri"/>
          <w:sz w:val="21"/>
          <w:szCs w:val="21"/>
        </w:rPr>
      </w:pPr>
      <w:r w:rsidRPr="00804C33">
        <w:rPr>
          <w:rFonts w:ascii="Calibri" w:hAnsi="Calibri" w:cs="Calibri"/>
          <w:sz w:val="21"/>
          <w:szCs w:val="21"/>
        </w:rPr>
        <w:t>Streamlining efforts should build on existing collaborative models while preserving each regulator’s autonomy to make informed, profession-specific decisions.</w:t>
      </w:r>
    </w:p>
    <w:p w14:paraId="3FD7BA2B"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3. Right-Sized Regulation</w:t>
      </w:r>
    </w:p>
    <w:p w14:paraId="22A65C19"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Regulation must be proportionate to risk, but also responsive to evolving professional and societal expectations. The HPCA Act already allows regulators to calibrate their policies and scopes of practice in a risk-based manner. For example, low-risk complaints are often managed through informal processes, while high-risk concerns proceed to professional conduct or competency review panels.</w:t>
      </w:r>
    </w:p>
    <w:p w14:paraId="16245FCB" w14:textId="38F8C3BC" w:rsidR="00C36A68" w:rsidRPr="00804C33" w:rsidRDefault="00D16AB2" w:rsidP="00804C33">
      <w:pPr>
        <w:jc w:val="both"/>
        <w:rPr>
          <w:rFonts w:ascii="Calibri" w:hAnsi="Calibri" w:cs="Calibri"/>
          <w:sz w:val="21"/>
          <w:szCs w:val="21"/>
        </w:rPr>
      </w:pPr>
      <w:r w:rsidRPr="00804C33">
        <w:rPr>
          <w:rFonts w:ascii="Calibri" w:hAnsi="Calibri" w:cs="Calibri"/>
          <w:sz w:val="21"/>
          <w:szCs w:val="21"/>
        </w:rPr>
        <w:t xml:space="preserve">Calls for "right-sizing" must not be used as a guise to dilute regulation under the premise of cost-saving or workforce expediency. Practitioners must continue to meet robust </w:t>
      </w:r>
      <w:r w:rsidR="00AF79F4" w:rsidRPr="00804C33">
        <w:rPr>
          <w:rFonts w:ascii="Calibri" w:hAnsi="Calibri" w:cs="Calibri"/>
          <w:sz w:val="21"/>
          <w:szCs w:val="21"/>
        </w:rPr>
        <w:t xml:space="preserve">education and </w:t>
      </w:r>
      <w:r w:rsidRPr="00804C33">
        <w:rPr>
          <w:rFonts w:ascii="Calibri" w:hAnsi="Calibri" w:cs="Calibri"/>
          <w:sz w:val="21"/>
          <w:szCs w:val="21"/>
        </w:rPr>
        <w:t>entry</w:t>
      </w:r>
      <w:r w:rsidR="00AF79F4" w:rsidRPr="00804C33">
        <w:rPr>
          <w:rFonts w:ascii="Calibri" w:hAnsi="Calibri" w:cs="Calibri"/>
          <w:sz w:val="21"/>
          <w:szCs w:val="21"/>
        </w:rPr>
        <w:t xml:space="preserve"> criteria</w:t>
      </w:r>
      <w:r w:rsidRPr="00804C33">
        <w:rPr>
          <w:rFonts w:ascii="Calibri" w:hAnsi="Calibri" w:cs="Calibri"/>
          <w:sz w:val="21"/>
          <w:szCs w:val="21"/>
        </w:rPr>
        <w:t>, re-</w:t>
      </w:r>
      <w:r w:rsidRPr="00804C33">
        <w:rPr>
          <w:rFonts w:ascii="Calibri" w:hAnsi="Calibri" w:cs="Calibri"/>
          <w:sz w:val="21"/>
          <w:szCs w:val="21"/>
        </w:rPr>
        <w:lastRenderedPageBreak/>
        <w:t>certification, and ongoing competency standards to protect the public and preserve the profession's integrity.</w:t>
      </w:r>
    </w:p>
    <w:p w14:paraId="61985B1F"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4. Future-Proofed Regulation</w:t>
      </w:r>
    </w:p>
    <w:p w14:paraId="22B156F6"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Regulators have demonstrated flexibility and responsiveness over time. NCNZ, for instance, has updated scopes of practice, competency frameworks, and codes of conduct to reflect emerging technologies, changing models of care, and evolving patient needs. It also conducts regular consultations to ensure alignment with sector developments.</w:t>
      </w:r>
    </w:p>
    <w:p w14:paraId="0E72976D" w14:textId="3A79CAC7" w:rsidR="00C36A68" w:rsidRPr="00804C33" w:rsidRDefault="00D16AB2" w:rsidP="00804C33">
      <w:pPr>
        <w:jc w:val="both"/>
        <w:rPr>
          <w:rFonts w:ascii="Calibri" w:hAnsi="Calibri" w:cs="Calibri"/>
          <w:sz w:val="21"/>
          <w:szCs w:val="21"/>
        </w:rPr>
      </w:pPr>
      <w:r w:rsidRPr="00804C33">
        <w:rPr>
          <w:rFonts w:ascii="Calibri" w:hAnsi="Calibri" w:cs="Calibri"/>
          <w:sz w:val="21"/>
          <w:szCs w:val="21"/>
        </w:rPr>
        <w:t>Future-proofing regulation does not require structural overhaul, but rather continued support for regulatory independence, investment in data infrastructure, and the inclusion of diverse professional and community voices in decision-making.</w:t>
      </w:r>
    </w:p>
    <w:p w14:paraId="1FE65ED2"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5. Regulation of Unregulated Practitioners</w:t>
      </w:r>
    </w:p>
    <w:p w14:paraId="62E49BD1" w14:textId="40CD19B1" w:rsidR="00D16AB2" w:rsidRPr="00804C33" w:rsidRDefault="00D16AB2" w:rsidP="00804C33">
      <w:pPr>
        <w:jc w:val="both"/>
        <w:rPr>
          <w:rFonts w:ascii="Calibri" w:hAnsi="Calibri" w:cs="Calibri"/>
          <w:sz w:val="21"/>
          <w:szCs w:val="21"/>
        </w:rPr>
      </w:pPr>
      <w:r w:rsidRPr="00804C33">
        <w:rPr>
          <w:rFonts w:ascii="Calibri" w:hAnsi="Calibri" w:cs="Calibri"/>
          <w:sz w:val="21"/>
          <w:szCs w:val="21"/>
        </w:rPr>
        <w:t xml:space="preserve">There is support for exploring regulation for unregulated roles such as Health Care Assistants (HCAs), who often work in high-contact settings with vulnerable patients. These workers carry significant </w:t>
      </w:r>
      <w:r w:rsidR="00D920EA" w:rsidRPr="00804C33">
        <w:rPr>
          <w:rFonts w:ascii="Calibri" w:hAnsi="Calibri" w:cs="Calibri"/>
          <w:sz w:val="21"/>
          <w:szCs w:val="21"/>
        </w:rPr>
        <w:t>responsibility yet</w:t>
      </w:r>
      <w:r w:rsidRPr="00804C33">
        <w:rPr>
          <w:rFonts w:ascii="Calibri" w:hAnsi="Calibri" w:cs="Calibri"/>
          <w:sz w:val="21"/>
          <w:szCs w:val="21"/>
        </w:rPr>
        <w:t xml:space="preserve"> currently operate without consistent standards or public accountability.</w:t>
      </w:r>
    </w:p>
    <w:p w14:paraId="0B86F965" w14:textId="6D651912" w:rsidR="00C36A68" w:rsidRPr="00804C33" w:rsidRDefault="00D16AB2" w:rsidP="00804C33">
      <w:pPr>
        <w:jc w:val="both"/>
        <w:rPr>
          <w:rFonts w:ascii="Calibri" w:hAnsi="Calibri" w:cs="Calibri"/>
          <w:sz w:val="21"/>
          <w:szCs w:val="21"/>
        </w:rPr>
      </w:pPr>
      <w:r w:rsidRPr="00804C33">
        <w:rPr>
          <w:rFonts w:ascii="Calibri" w:hAnsi="Calibri" w:cs="Calibri"/>
          <w:sz w:val="21"/>
          <w:szCs w:val="21"/>
        </w:rPr>
        <w:t>However, expanding regulation must be done thoughtfully. New professions seeking regulation should provide clear evidence of public risk and demonstrate the capacity for self-governance and ethical practice. Introducing regulation simply for recognition or career progression purposes risks undermining the public protection mandate.</w:t>
      </w:r>
    </w:p>
    <w:p w14:paraId="6E2A1744"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6. Patient Needs and the Role of Regulators</w:t>
      </w:r>
    </w:p>
    <w:p w14:paraId="7F0802E0"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Regulators already uphold patient needs by ensuring practitioners deliver competent, ethical, and culturally safe care. Professional standards, codes of conduct, and ongoing competency assessments all serve this purpose.</w:t>
      </w:r>
    </w:p>
    <w:p w14:paraId="30F8C19B" w14:textId="5A7FAD24" w:rsidR="00C36A68" w:rsidRPr="00804C33" w:rsidRDefault="00D16AB2" w:rsidP="00804C33">
      <w:pPr>
        <w:jc w:val="both"/>
        <w:rPr>
          <w:rFonts w:ascii="Calibri" w:hAnsi="Calibri" w:cs="Calibri"/>
          <w:sz w:val="21"/>
          <w:szCs w:val="21"/>
        </w:rPr>
      </w:pPr>
      <w:r w:rsidRPr="00804C33">
        <w:rPr>
          <w:rFonts w:ascii="Calibri" w:hAnsi="Calibri" w:cs="Calibri"/>
          <w:sz w:val="21"/>
          <w:szCs w:val="21"/>
        </w:rPr>
        <w:t>Additionally, the presence of laypersons on regulatory councils helps ensure that community perspectives are considered in governance and decision-making. Strengthening engagement with marginalised communities, rural populations, and those with lived experience of healthcare should be prioritised, but this does not necessitate expanding regulatory mandates.</w:t>
      </w:r>
    </w:p>
    <w:p w14:paraId="3B0B1A9A"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7. Cultural Safety and Clinical Competence</w:t>
      </w:r>
    </w:p>
    <w:p w14:paraId="21351258" w14:textId="7A8E18E2" w:rsidR="00D16AB2" w:rsidRPr="00804C33" w:rsidRDefault="00D16AB2" w:rsidP="00804C33">
      <w:pPr>
        <w:jc w:val="both"/>
        <w:rPr>
          <w:rFonts w:ascii="Calibri" w:hAnsi="Calibri" w:cs="Calibri"/>
          <w:sz w:val="21"/>
          <w:szCs w:val="21"/>
        </w:rPr>
      </w:pPr>
      <w:r w:rsidRPr="00804C33">
        <w:rPr>
          <w:rFonts w:ascii="Calibri" w:hAnsi="Calibri" w:cs="Calibri"/>
          <w:sz w:val="21"/>
          <w:szCs w:val="21"/>
        </w:rPr>
        <w:t>Cultural safety is inseparable from clinical competence. Effective care in Aotearoa New Zealand must be grounded in Te Tiriti o Waitangi principles, acknowledging the unique health needs and aspirations of Māori. A practitioner who lacks cultural awareness may unintentionally cause harm, even if technically competent.</w:t>
      </w:r>
      <w:r w:rsidR="00804C33" w:rsidRPr="00804C33">
        <w:rPr>
          <w:rFonts w:ascii="Calibri" w:hAnsi="Calibri" w:cs="Calibri"/>
          <w:sz w:val="21"/>
          <w:szCs w:val="21"/>
        </w:rPr>
        <w:t xml:space="preserve"> Clinical practice safety requires a fully rounded professional who has the technical knowledge and skills required for a range of situations, the ability to assess the individual and community needs using critical thinking and advanced interpersonal skills, planning skills that integrates the expertise of the whole health care team to best meet the needs, confident interventions to achieve the expected outcomes and evaluation that the intervention has achieved the expectations. To assess the individual or community, the professional must understand the person, their cultural influences and responses to be able to work with them as a partner to achieve the best outcome for them.  </w:t>
      </w:r>
    </w:p>
    <w:p w14:paraId="0C0D6FEC"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Regulatory bodies must continue to require evidence of cultural competence at entry to practice, in continuing professional development, and during performance evaluations. This should apply to all practitioners, including those trained overseas.</w:t>
      </w:r>
    </w:p>
    <w:p w14:paraId="5E73D28C" w14:textId="77777777" w:rsidR="00C36A68" w:rsidRDefault="00C36A68" w:rsidP="00804C33">
      <w:pPr>
        <w:jc w:val="both"/>
        <w:rPr>
          <w:rFonts w:ascii="Calibri" w:hAnsi="Calibri" w:cs="Calibri"/>
          <w:sz w:val="21"/>
          <w:szCs w:val="21"/>
        </w:rPr>
      </w:pPr>
    </w:p>
    <w:p w14:paraId="0BBCCFDF" w14:textId="77777777" w:rsidR="00804C33" w:rsidRPr="00804C33" w:rsidRDefault="00804C33" w:rsidP="00804C33">
      <w:pPr>
        <w:jc w:val="both"/>
        <w:rPr>
          <w:rFonts w:ascii="Calibri" w:hAnsi="Calibri" w:cs="Calibri"/>
          <w:sz w:val="21"/>
          <w:szCs w:val="21"/>
        </w:rPr>
      </w:pPr>
    </w:p>
    <w:p w14:paraId="32B577EB"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lastRenderedPageBreak/>
        <w:t>8. Competition and Access</w:t>
      </w:r>
    </w:p>
    <w:p w14:paraId="50C27AE8"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The regulatory system is not the appropriate mechanism for addressing competition or improving access to services. These issues are determined by policy, funding, workforce planning, and service design. Regulatory bodies must retain independence and focus on professional standards, not market forces.</w:t>
      </w:r>
    </w:p>
    <w:p w14:paraId="5B5A6FF0" w14:textId="657F5A7A" w:rsidR="00C36A68" w:rsidRPr="00804C33" w:rsidRDefault="00D16AB2" w:rsidP="00804C33">
      <w:pPr>
        <w:jc w:val="both"/>
        <w:rPr>
          <w:rFonts w:ascii="Calibri" w:hAnsi="Calibri" w:cs="Calibri"/>
          <w:sz w:val="21"/>
          <w:szCs w:val="21"/>
        </w:rPr>
      </w:pPr>
      <w:r w:rsidRPr="00804C33">
        <w:rPr>
          <w:rFonts w:ascii="Calibri" w:hAnsi="Calibri" w:cs="Calibri"/>
          <w:sz w:val="21"/>
          <w:szCs w:val="21"/>
        </w:rPr>
        <w:t>Introducing commercial considerations into regulatory decisions risks undermining public trust and may create perverse incentives that compromise safety.</w:t>
      </w:r>
    </w:p>
    <w:p w14:paraId="7A88C640"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9. Separate vs. Combined Regulators</w:t>
      </w:r>
    </w:p>
    <w:p w14:paraId="0EEC7466"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While administrative cooperation among regulators is beneficial, merging distinct professional councils would likely erode specialist knowledge and reduce responsiveness. Nursing, medicine, physiotherapy, and other disciplines each carry unique scopes of practice, ethical considerations, and educational pathways.</w:t>
      </w:r>
    </w:p>
    <w:p w14:paraId="16F2DCEB" w14:textId="61BEEA90" w:rsidR="00C36A68" w:rsidRPr="00804C33" w:rsidRDefault="00D16AB2" w:rsidP="00804C33">
      <w:pPr>
        <w:jc w:val="both"/>
        <w:rPr>
          <w:rFonts w:ascii="Calibri" w:hAnsi="Calibri" w:cs="Calibri"/>
          <w:sz w:val="21"/>
          <w:szCs w:val="21"/>
        </w:rPr>
      </w:pPr>
      <w:r w:rsidRPr="00804C33">
        <w:rPr>
          <w:rFonts w:ascii="Calibri" w:hAnsi="Calibri" w:cs="Calibri"/>
          <w:sz w:val="21"/>
          <w:szCs w:val="21"/>
        </w:rPr>
        <w:t>The independence of profession-specific regulators ensures decisions are made with deep understanding of the context, evidence base, and risks inherent to each field. A combined regulatory model may also reduce the profession’s sense of ownership and engagement with their standards.</w:t>
      </w:r>
    </w:p>
    <w:p w14:paraId="5C0D2B8F"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10. Training Requirements</w:t>
      </w:r>
    </w:p>
    <w:p w14:paraId="0E72EDAB"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Clinical training hour requirements must reflect the complexity and demands of professional practice in New Zealand. Simply reducing required hours to align with other countries is not justified without a thorough analysis of outcomes, graduate readiness, and patient safety.</w:t>
      </w:r>
    </w:p>
    <w:p w14:paraId="014096E7" w14:textId="743973E5" w:rsidR="00C36A68" w:rsidRPr="00804C33" w:rsidRDefault="00D16AB2" w:rsidP="00804C33">
      <w:pPr>
        <w:jc w:val="both"/>
        <w:rPr>
          <w:rFonts w:ascii="Calibri" w:hAnsi="Calibri" w:cs="Calibri"/>
          <w:sz w:val="21"/>
          <w:szCs w:val="21"/>
        </w:rPr>
      </w:pPr>
      <w:r w:rsidRPr="00804C33">
        <w:rPr>
          <w:rFonts w:ascii="Calibri" w:hAnsi="Calibri" w:cs="Calibri"/>
          <w:sz w:val="21"/>
          <w:szCs w:val="21"/>
        </w:rPr>
        <w:t>Anecdotal comparisons (e.g. 800 hours in Australia vs. 1000 in NZ) fail to capture the depth and breadth of curriculum content, supervision quality, and clinical complexity. Nurses trained in New Zealand are known for their high level of readiness and adaptability, and this should not be compromised.</w:t>
      </w:r>
    </w:p>
    <w:p w14:paraId="52960CC8"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11. Government Influence on Regulation</w:t>
      </w:r>
    </w:p>
    <w:p w14:paraId="58A51153"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Regulators must remain independent of political influence. While it is appropriate for the Government to set overall health system direction, it must not instruct regulators on registration, scopes of practice, or disciplinary matters. These functions require professional and legal objectivity.</w:t>
      </w:r>
    </w:p>
    <w:p w14:paraId="6968D5F6" w14:textId="5B20135F" w:rsidR="00C36A68" w:rsidRPr="00804C33" w:rsidRDefault="00D16AB2" w:rsidP="00804C33">
      <w:pPr>
        <w:jc w:val="both"/>
        <w:rPr>
          <w:rFonts w:ascii="Calibri" w:hAnsi="Calibri" w:cs="Calibri"/>
          <w:sz w:val="21"/>
          <w:szCs w:val="21"/>
        </w:rPr>
      </w:pPr>
      <w:r w:rsidRPr="00804C33">
        <w:rPr>
          <w:rFonts w:ascii="Calibri" w:hAnsi="Calibri" w:cs="Calibri"/>
          <w:sz w:val="21"/>
          <w:szCs w:val="21"/>
        </w:rPr>
        <w:t>A regulatory system subject to political intervention would be vulnerable to shifts in ideology and short-term priorities, undermining consistent protection of the public.</w:t>
      </w:r>
    </w:p>
    <w:p w14:paraId="664667CA"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12. Overseas-Trained Practitioners and Registration Tribunals</w:t>
      </w:r>
    </w:p>
    <w:p w14:paraId="7F848D9B"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Nursing Council has effectively managed the influx of internationally qualified nurses (IQNs), ensuring they meet local practice standards while maintaining workforce supply. Centralising assessment across professions would remove essential profession-specific oversight.</w:t>
      </w:r>
    </w:p>
    <w:p w14:paraId="1E410A62" w14:textId="78941506" w:rsidR="00C36A68" w:rsidRPr="00804C33" w:rsidRDefault="00D16AB2" w:rsidP="00804C33">
      <w:pPr>
        <w:jc w:val="both"/>
        <w:rPr>
          <w:rFonts w:ascii="Calibri" w:hAnsi="Calibri" w:cs="Calibri"/>
          <w:sz w:val="21"/>
          <w:szCs w:val="21"/>
        </w:rPr>
      </w:pPr>
      <w:r w:rsidRPr="00804C33">
        <w:rPr>
          <w:rFonts w:ascii="Calibri" w:hAnsi="Calibri" w:cs="Calibri"/>
          <w:sz w:val="21"/>
          <w:szCs w:val="21"/>
        </w:rPr>
        <w:t>Each discipline has unique requirements and risk profiles. A generalised tribunal may lack the expertise to appropriately evaluate candidates, potentially lowering standards or delaying decisions.</w:t>
      </w:r>
    </w:p>
    <w:p w14:paraId="496D37CA"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13. Re-Entry to Practice and Competency Assessments</w:t>
      </w:r>
    </w:p>
    <w:p w14:paraId="29D85CBC"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Competency Assessment Programmes (CAP) strike a careful balance between accessibility and safety. These programmes ensure that returning or overseas-qualified practitioners are current in their knowledge, culturally competent, and able to practise safely.</w:t>
      </w:r>
    </w:p>
    <w:p w14:paraId="24C947ED" w14:textId="46AEA80E" w:rsidR="00C36A68" w:rsidRPr="00804C33" w:rsidRDefault="00D16AB2" w:rsidP="00804C33">
      <w:pPr>
        <w:jc w:val="both"/>
        <w:rPr>
          <w:rFonts w:ascii="Calibri" w:hAnsi="Calibri" w:cs="Calibri"/>
          <w:sz w:val="21"/>
          <w:szCs w:val="21"/>
        </w:rPr>
      </w:pPr>
      <w:r w:rsidRPr="00804C33">
        <w:rPr>
          <w:rFonts w:ascii="Calibri" w:hAnsi="Calibri" w:cs="Calibri"/>
          <w:sz w:val="21"/>
          <w:szCs w:val="21"/>
        </w:rPr>
        <w:t>Further streamlining must not compromise this balance. Shortening or waiving CAP requirements without robust evidence would increase risks to the public, particularly in high-acuity or complex care settings.</w:t>
      </w:r>
      <w:r w:rsidR="00804C33">
        <w:rPr>
          <w:rFonts w:ascii="Calibri" w:hAnsi="Calibri" w:cs="Calibri"/>
          <w:sz w:val="21"/>
          <w:szCs w:val="21"/>
        </w:rPr>
        <w:t xml:space="preserve">  Over-emphasis on CAP workforce can compromise safety and cause imbalance in practice safety.  The </w:t>
      </w:r>
      <w:r w:rsidR="00804C33">
        <w:rPr>
          <w:rFonts w:ascii="Calibri" w:hAnsi="Calibri" w:cs="Calibri"/>
          <w:sz w:val="21"/>
          <w:szCs w:val="21"/>
        </w:rPr>
        <w:lastRenderedPageBreak/>
        <w:t xml:space="preserve">current increase in percentage of </w:t>
      </w:r>
      <w:r w:rsidR="00560359" w:rsidRPr="00804C33">
        <w:rPr>
          <w:rFonts w:ascii="Calibri" w:hAnsi="Calibri" w:cs="Calibri"/>
          <w:sz w:val="21"/>
          <w:szCs w:val="21"/>
        </w:rPr>
        <w:t xml:space="preserve">internationally qualified </w:t>
      </w:r>
      <w:r w:rsidR="00D920EA" w:rsidRPr="00804C33">
        <w:rPr>
          <w:rFonts w:ascii="Calibri" w:hAnsi="Calibri" w:cs="Calibri"/>
          <w:sz w:val="21"/>
          <w:szCs w:val="21"/>
        </w:rPr>
        <w:t>nurse’s</w:t>
      </w:r>
      <w:r w:rsidR="00560359" w:rsidRPr="00804C33">
        <w:rPr>
          <w:rFonts w:ascii="Calibri" w:hAnsi="Calibri" w:cs="Calibri"/>
          <w:sz w:val="21"/>
          <w:szCs w:val="21"/>
        </w:rPr>
        <w:t xml:space="preserve"> </w:t>
      </w:r>
      <w:r w:rsidR="00804C33">
        <w:rPr>
          <w:rFonts w:ascii="Calibri" w:hAnsi="Calibri" w:cs="Calibri"/>
          <w:sz w:val="21"/>
          <w:szCs w:val="21"/>
        </w:rPr>
        <w:t>workforce numbers since 2023 to nearly 50% is a concern.</w:t>
      </w:r>
    </w:p>
    <w:p w14:paraId="37F82967"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14. Additional Workforce Entry Pathways</w:t>
      </w:r>
    </w:p>
    <w:p w14:paraId="079E18D4"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Introducing new entry pathways that bypass full regulatory assessment poses significant risks. Supervised practice prior to credential verification, for example, may expose patients to unqualified or unverified individuals.</w:t>
      </w:r>
    </w:p>
    <w:p w14:paraId="64A79631" w14:textId="2B414950" w:rsidR="00C36A68" w:rsidRPr="00804C33" w:rsidRDefault="00D16AB2" w:rsidP="00804C33">
      <w:pPr>
        <w:jc w:val="both"/>
        <w:rPr>
          <w:rFonts w:ascii="Calibri" w:hAnsi="Calibri" w:cs="Calibri"/>
          <w:sz w:val="21"/>
          <w:szCs w:val="21"/>
        </w:rPr>
      </w:pPr>
      <w:r w:rsidRPr="00804C33">
        <w:rPr>
          <w:rFonts w:ascii="Calibri" w:hAnsi="Calibri" w:cs="Calibri"/>
          <w:sz w:val="21"/>
          <w:szCs w:val="21"/>
        </w:rPr>
        <w:t>Any new entry mechanism must be transparent, rigorously assessed, and subject to regulatory approval. The public rightly expects that anyone providing care has already been confirmed as safe and competent</w:t>
      </w:r>
    </w:p>
    <w:p w14:paraId="530FFCE1"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15. Impact on Service Availability</w:t>
      </w:r>
    </w:p>
    <w:p w14:paraId="5AD9F452"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Regulators are not responsible for staffing levels or service distribution. These matters are determined by health system funding, workforce strategies, and employer practices. Blaming regulation for shortages or wait times misplaces accountability.</w:t>
      </w:r>
    </w:p>
    <w:p w14:paraId="432977A8" w14:textId="05CF5439" w:rsidR="00C36A68" w:rsidRPr="00804C33" w:rsidRDefault="00D16AB2" w:rsidP="00804C33">
      <w:pPr>
        <w:jc w:val="both"/>
        <w:rPr>
          <w:rFonts w:ascii="Calibri" w:hAnsi="Calibri" w:cs="Calibri"/>
          <w:sz w:val="21"/>
          <w:szCs w:val="21"/>
        </w:rPr>
      </w:pPr>
      <w:r w:rsidRPr="00804C33">
        <w:rPr>
          <w:rFonts w:ascii="Calibri" w:hAnsi="Calibri" w:cs="Calibri"/>
          <w:sz w:val="21"/>
          <w:szCs w:val="21"/>
        </w:rPr>
        <w:t>Maintaining high professional standards protects patients and the credibility of the health system. Lowering these standards to address workforce gaps would be counterproductive and potentially dangerous.</w:t>
      </w:r>
    </w:p>
    <w:p w14:paraId="1023FF22"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16. Registers and Operational Direction</w:t>
      </w:r>
    </w:p>
    <w:p w14:paraId="0EB1B2A2"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Regulatory independence must be preserved. Any proposal to mandate register integration or direct operational changes must be based on clear benefit, with adequate resourcing and profession-led planning.</w:t>
      </w:r>
    </w:p>
    <w:p w14:paraId="4C4AB9FA" w14:textId="7DDEC0FB" w:rsidR="00C36A68" w:rsidRPr="00804C33" w:rsidRDefault="00D16AB2" w:rsidP="00804C33">
      <w:pPr>
        <w:jc w:val="both"/>
        <w:rPr>
          <w:rFonts w:ascii="Calibri" w:hAnsi="Calibri" w:cs="Calibri"/>
          <w:sz w:val="21"/>
          <w:szCs w:val="21"/>
        </w:rPr>
      </w:pPr>
      <w:r w:rsidRPr="00804C33">
        <w:rPr>
          <w:rFonts w:ascii="Calibri" w:hAnsi="Calibri" w:cs="Calibri"/>
          <w:sz w:val="21"/>
          <w:szCs w:val="21"/>
        </w:rPr>
        <w:t>Improving data sharing for workforce planning may be beneficial, but it must not compromise data integrity, privacy, or the ability of regulators to manage registers in a way that aligns with their legislative mandates.</w:t>
      </w:r>
    </w:p>
    <w:p w14:paraId="5B326D6B"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17. Board Appointments</w:t>
      </w:r>
    </w:p>
    <w:p w14:paraId="2CE6C0D2"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Current board structures balance professional insight with public accountability. Increasing ministerial appointments risks politicising regulator governance. There is no evidence that elected boards are failing to act in the public interest.</w:t>
      </w:r>
    </w:p>
    <w:p w14:paraId="2B80058B" w14:textId="77777777" w:rsidR="00D16AB2" w:rsidRPr="00804C33" w:rsidRDefault="00D16AB2" w:rsidP="00804C33">
      <w:pPr>
        <w:jc w:val="both"/>
        <w:rPr>
          <w:rFonts w:ascii="Calibri" w:hAnsi="Calibri" w:cs="Calibri"/>
          <w:sz w:val="21"/>
          <w:szCs w:val="21"/>
        </w:rPr>
      </w:pPr>
      <w:r w:rsidRPr="00804C33">
        <w:rPr>
          <w:rFonts w:ascii="Calibri" w:hAnsi="Calibri" w:cs="Calibri"/>
          <w:sz w:val="21"/>
          <w:szCs w:val="21"/>
        </w:rPr>
        <w:t>A diverse mix of appointed and elected members, with robust conflict of interest and transparency policies, ensures sound decision-making and preserves trust.</w:t>
      </w:r>
    </w:p>
    <w:p w14:paraId="2591617A" w14:textId="77777777" w:rsidR="00C36A68" w:rsidRPr="00804C33" w:rsidRDefault="00C36A68" w:rsidP="00804C33">
      <w:pPr>
        <w:jc w:val="both"/>
        <w:rPr>
          <w:rFonts w:ascii="Calibri" w:hAnsi="Calibri" w:cs="Calibri"/>
          <w:sz w:val="21"/>
          <w:szCs w:val="21"/>
        </w:rPr>
      </w:pPr>
    </w:p>
    <w:p w14:paraId="6D77B25F" w14:textId="0F570587" w:rsidR="00C36A68" w:rsidRPr="00804C33" w:rsidRDefault="00593116" w:rsidP="00804C33">
      <w:pPr>
        <w:jc w:val="both"/>
        <w:rPr>
          <w:rFonts w:ascii="Calibri" w:hAnsi="Calibri" w:cs="Calibri"/>
          <w:sz w:val="21"/>
          <w:szCs w:val="21"/>
        </w:rPr>
      </w:pPr>
      <w:r>
        <w:rPr>
          <w:rFonts w:ascii="Calibri" w:hAnsi="Calibri" w:cs="Calibri"/>
          <w:sz w:val="21"/>
          <w:szCs w:val="21"/>
        </w:rPr>
        <w:pict w14:anchorId="187BB315">
          <v:rect id="_x0000_i1027" style="width:0;height:1.5pt" o:hralign="center" o:hrstd="t" o:hr="t" fillcolor="#a0a0a0" stroked="f"/>
        </w:pict>
      </w:r>
    </w:p>
    <w:p w14:paraId="2697CB94" w14:textId="77777777" w:rsidR="00C36A68" w:rsidRPr="00804C33" w:rsidRDefault="00C36A68" w:rsidP="00804C33">
      <w:pPr>
        <w:jc w:val="both"/>
        <w:rPr>
          <w:rFonts w:ascii="Calibri" w:hAnsi="Calibri" w:cs="Calibri"/>
          <w:b/>
          <w:bCs/>
          <w:sz w:val="21"/>
          <w:szCs w:val="21"/>
        </w:rPr>
      </w:pPr>
      <w:r w:rsidRPr="00804C33">
        <w:rPr>
          <w:rFonts w:ascii="Calibri" w:hAnsi="Calibri" w:cs="Calibri"/>
          <w:b/>
          <w:bCs/>
          <w:sz w:val="21"/>
          <w:szCs w:val="21"/>
        </w:rPr>
        <w:t>Conclusion</w:t>
      </w:r>
    </w:p>
    <w:p w14:paraId="2869A424" w14:textId="1EE42329" w:rsidR="00C36A68" w:rsidRPr="00804C33" w:rsidRDefault="00C36A68" w:rsidP="00804C33">
      <w:pPr>
        <w:jc w:val="both"/>
        <w:rPr>
          <w:rFonts w:ascii="Calibri" w:hAnsi="Calibri" w:cs="Calibri"/>
          <w:sz w:val="21"/>
          <w:szCs w:val="21"/>
        </w:rPr>
      </w:pPr>
      <w:r w:rsidRPr="00804C33">
        <w:rPr>
          <w:rFonts w:ascii="Calibri" w:hAnsi="Calibri" w:cs="Calibri"/>
          <w:sz w:val="21"/>
          <w:szCs w:val="21"/>
        </w:rPr>
        <w:t>This submission supports a regulatory framework that is patient-centred, culturally safe, professionally led, and independent. Any changes to regulation should be evidence-based, consultative, and cautious to avoid destabilising a system that is already meeting its core objectives of public protection and professional competence.</w:t>
      </w:r>
      <w:r w:rsidR="00D16AB2" w:rsidRPr="00804C33">
        <w:rPr>
          <w:rFonts w:ascii="Calibri" w:hAnsi="Calibri" w:cs="Calibri"/>
          <w:sz w:val="21"/>
          <w:szCs w:val="21"/>
        </w:rPr>
        <w:t xml:space="preserve"> I urge the Ministry to proceed cautiously, consult widely, and prioritise safety and quality above all else.</w:t>
      </w:r>
    </w:p>
    <w:p w14:paraId="24C2BCD6" w14:textId="5B4FB149" w:rsidR="00C36A68" w:rsidRPr="00804C33" w:rsidRDefault="00593116" w:rsidP="00804C33">
      <w:pPr>
        <w:jc w:val="both"/>
        <w:rPr>
          <w:rFonts w:ascii="Calibri" w:hAnsi="Calibri" w:cs="Calibri"/>
          <w:sz w:val="21"/>
          <w:szCs w:val="21"/>
        </w:rPr>
      </w:pPr>
      <w:r>
        <w:rPr>
          <w:rFonts w:ascii="Calibri" w:hAnsi="Calibri" w:cs="Calibri"/>
          <w:sz w:val="21"/>
          <w:szCs w:val="21"/>
        </w:rPr>
        <w:pict w14:anchorId="687E960F">
          <v:rect id="_x0000_i1028" style="width:0;height:1.5pt" o:hralign="center" o:hrstd="t" o:hr="t" fillcolor="#a0a0a0" stroked="f"/>
        </w:pict>
      </w:r>
    </w:p>
    <w:p w14:paraId="7E55F52A" w14:textId="77777777" w:rsidR="00D920EA" w:rsidRDefault="00D920EA">
      <w:pPr>
        <w:rPr>
          <w:rFonts w:ascii="Calibri" w:eastAsia="Times New Roman" w:hAnsi="Calibri" w:cs="Calibri"/>
          <w:b/>
          <w:bCs/>
          <w:color w:val="215E99" w:themeColor="text2" w:themeTint="BF"/>
          <w:kern w:val="0"/>
          <w:sz w:val="21"/>
          <w:szCs w:val="21"/>
          <w:lang w:eastAsia="en-GB"/>
          <w14:ligatures w14:val="none"/>
        </w:rPr>
      </w:pPr>
      <w:r>
        <w:rPr>
          <w:rFonts w:ascii="Calibri" w:eastAsia="Times New Roman" w:hAnsi="Calibri" w:cs="Calibri"/>
          <w:b/>
          <w:bCs/>
          <w:color w:val="215E99" w:themeColor="text2" w:themeTint="BF"/>
          <w:kern w:val="0"/>
          <w:sz w:val="21"/>
          <w:szCs w:val="21"/>
          <w:lang w:eastAsia="en-GB"/>
          <w14:ligatures w14:val="none"/>
        </w:rPr>
        <w:br w:type="page"/>
      </w:r>
    </w:p>
    <w:p w14:paraId="088A3E0D" w14:textId="7BE0E8F5" w:rsidR="00AF79F4" w:rsidRPr="00804C33" w:rsidRDefault="00AF79F4" w:rsidP="00804C33">
      <w:pPr>
        <w:shd w:val="clear" w:color="auto" w:fill="FFFFFF"/>
        <w:spacing w:before="100" w:beforeAutospacing="1" w:after="100" w:afterAutospacing="1" w:line="240" w:lineRule="auto"/>
        <w:jc w:val="both"/>
        <w:rPr>
          <w:rFonts w:ascii="Calibri" w:eastAsia="Times New Roman" w:hAnsi="Calibri" w:cs="Calibri"/>
          <w:b/>
          <w:bCs/>
          <w:color w:val="215E99" w:themeColor="text2" w:themeTint="BF"/>
          <w:kern w:val="0"/>
          <w:sz w:val="21"/>
          <w:szCs w:val="21"/>
          <w:lang w:eastAsia="en-GB"/>
          <w14:ligatures w14:val="none"/>
        </w:rPr>
      </w:pPr>
      <w:r w:rsidRPr="00804C33">
        <w:rPr>
          <w:rFonts w:ascii="Calibri" w:eastAsia="Times New Roman" w:hAnsi="Calibri" w:cs="Calibri"/>
          <w:b/>
          <w:bCs/>
          <w:color w:val="215E99" w:themeColor="text2" w:themeTint="BF"/>
          <w:kern w:val="0"/>
          <w:sz w:val="21"/>
          <w:szCs w:val="21"/>
          <w:lang w:eastAsia="en-GB"/>
          <w14:ligatures w14:val="none"/>
        </w:rPr>
        <w:lastRenderedPageBreak/>
        <w:t>Responses to specific questions in the consultation document</w:t>
      </w:r>
    </w:p>
    <w:p w14:paraId="0DB22CB9" w14:textId="21D7EDFB" w:rsidR="00AF79F4" w:rsidRPr="00804C33" w:rsidRDefault="00AF79F4" w:rsidP="00804C33">
      <w:pPr>
        <w:numPr>
          <w:ilvl w:val="0"/>
          <w:numId w:val="1"/>
        </w:numPr>
        <w:shd w:val="clear" w:color="auto" w:fill="FFFFFF"/>
        <w:spacing w:before="100" w:beforeAutospacing="1" w:after="100" w:afterAutospacing="1" w:line="240" w:lineRule="auto"/>
        <w:jc w:val="both"/>
        <w:rPr>
          <w:rFonts w:ascii="Calibri" w:eastAsia="Times New Roman" w:hAnsi="Calibri" w:cs="Calibri"/>
          <w:color w:val="000000"/>
          <w:kern w:val="0"/>
          <w:sz w:val="21"/>
          <w:szCs w:val="21"/>
          <w:lang w:eastAsia="en-GB"/>
          <w14:ligatures w14:val="none"/>
        </w:rPr>
      </w:pPr>
      <w:r w:rsidRPr="00804C33">
        <w:rPr>
          <w:rFonts w:ascii="Calibri" w:eastAsia="Times New Roman" w:hAnsi="Calibri" w:cs="Calibri"/>
          <w:color w:val="000000"/>
          <w:kern w:val="0"/>
          <w:sz w:val="21"/>
          <w:szCs w:val="21"/>
          <w:lang w:eastAsia="en-GB"/>
          <w14:ligatures w14:val="none"/>
        </w:rPr>
        <w:t xml:space="preserve">Patient-centred regulation that covers registered health practitioners: </w:t>
      </w:r>
      <w:r w:rsidRPr="00804C33">
        <w:rPr>
          <w:rFonts w:ascii="Calibri" w:eastAsia="Times New Roman" w:hAnsi="Calibri" w:cs="Calibri"/>
          <w:color w:val="0070C0"/>
          <w:kern w:val="0"/>
          <w:sz w:val="21"/>
          <w:szCs w:val="21"/>
          <w:lang w:eastAsia="en-GB"/>
          <w14:ligatures w14:val="none"/>
        </w:rPr>
        <w:t>Current legislation</w:t>
      </w:r>
      <w:r w:rsidR="00D920EA">
        <w:rPr>
          <w:rFonts w:ascii="Calibri" w:eastAsia="Times New Roman" w:hAnsi="Calibri" w:cs="Calibri"/>
          <w:color w:val="0070C0"/>
          <w:kern w:val="0"/>
          <w:sz w:val="21"/>
          <w:szCs w:val="21"/>
          <w:lang w:eastAsia="en-GB"/>
          <w14:ligatures w14:val="none"/>
        </w:rPr>
        <w:t xml:space="preserve"> and requirements of Regulators</w:t>
      </w:r>
      <w:r w:rsidRPr="00804C33">
        <w:rPr>
          <w:rFonts w:ascii="Calibri" w:eastAsia="Times New Roman" w:hAnsi="Calibri" w:cs="Calibri"/>
          <w:color w:val="0070C0"/>
          <w:kern w:val="0"/>
          <w:sz w:val="21"/>
          <w:szCs w:val="21"/>
          <w:lang w:eastAsia="en-GB"/>
          <w14:ligatures w14:val="none"/>
        </w:rPr>
        <w:t xml:space="preserve"> puts the patient and their safety at the centre. Regulators do not impact on faster wait times and better access – this is </w:t>
      </w:r>
      <w:r w:rsidR="00D920EA">
        <w:rPr>
          <w:rFonts w:ascii="Calibri" w:eastAsia="Times New Roman" w:hAnsi="Calibri" w:cs="Calibri"/>
          <w:color w:val="0070C0"/>
          <w:kern w:val="0"/>
          <w:sz w:val="21"/>
          <w:szCs w:val="21"/>
          <w:lang w:eastAsia="en-GB"/>
          <w14:ligatures w14:val="none"/>
        </w:rPr>
        <w:t xml:space="preserve">the role of </w:t>
      </w:r>
      <w:r w:rsidRPr="00804C33">
        <w:rPr>
          <w:rFonts w:ascii="Calibri" w:eastAsia="Times New Roman" w:hAnsi="Calibri" w:cs="Calibri"/>
          <w:color w:val="0070C0"/>
          <w:kern w:val="0"/>
          <w:sz w:val="21"/>
          <w:szCs w:val="21"/>
          <w:lang w:eastAsia="en-GB"/>
          <w14:ligatures w14:val="none"/>
        </w:rPr>
        <w:t>a health service function</w:t>
      </w:r>
    </w:p>
    <w:p w14:paraId="076A7BB8" w14:textId="20F62362" w:rsidR="00AF79F4" w:rsidRPr="00804C33" w:rsidRDefault="00AF79F4" w:rsidP="00804C33">
      <w:pPr>
        <w:numPr>
          <w:ilvl w:val="0"/>
          <w:numId w:val="1"/>
        </w:numPr>
        <w:shd w:val="clear" w:color="auto" w:fill="FFFFFF"/>
        <w:spacing w:before="100" w:beforeAutospacing="1" w:after="100" w:afterAutospacing="1" w:line="240" w:lineRule="auto"/>
        <w:jc w:val="both"/>
        <w:rPr>
          <w:rFonts w:ascii="Calibri" w:eastAsia="Times New Roman" w:hAnsi="Calibri" w:cs="Calibri"/>
          <w:color w:val="000000"/>
          <w:kern w:val="0"/>
          <w:sz w:val="21"/>
          <w:szCs w:val="21"/>
          <w:lang w:eastAsia="en-GB"/>
          <w14:ligatures w14:val="none"/>
        </w:rPr>
      </w:pPr>
      <w:r w:rsidRPr="00804C33">
        <w:rPr>
          <w:rFonts w:ascii="Calibri" w:eastAsia="Times New Roman" w:hAnsi="Calibri" w:cs="Calibri"/>
          <w:color w:val="000000"/>
          <w:kern w:val="0"/>
          <w:sz w:val="21"/>
          <w:szCs w:val="21"/>
          <w:lang w:eastAsia="en-GB"/>
          <w14:ligatures w14:val="none"/>
        </w:rPr>
        <w:t xml:space="preserve">Streamlined regulation: Using resources and administering the rules in the most cost-effective way possible, ensuring value for money for taxpayers and better outcomes for patients. </w:t>
      </w:r>
      <w:r w:rsidRPr="00804C33">
        <w:rPr>
          <w:rFonts w:ascii="Calibri" w:eastAsia="Times New Roman" w:hAnsi="Calibri" w:cs="Calibri"/>
          <w:color w:val="0070C0"/>
          <w:kern w:val="0"/>
          <w:sz w:val="21"/>
          <w:szCs w:val="21"/>
          <w:lang w:eastAsia="en-GB"/>
          <w14:ligatures w14:val="none"/>
        </w:rPr>
        <w:t xml:space="preserve">Many of the Regulators have already joined the back-office functions as part of good business over past years. It is not clear why there a need to </w:t>
      </w:r>
      <w:r w:rsidR="00451052" w:rsidRPr="00804C33">
        <w:rPr>
          <w:rFonts w:ascii="Calibri" w:eastAsia="Times New Roman" w:hAnsi="Calibri" w:cs="Calibri"/>
          <w:color w:val="0070C0"/>
          <w:kern w:val="0"/>
          <w:sz w:val="21"/>
          <w:szCs w:val="21"/>
          <w:lang w:eastAsia="en-GB"/>
          <w14:ligatures w14:val="none"/>
        </w:rPr>
        <w:t xml:space="preserve">further </w:t>
      </w:r>
      <w:r w:rsidRPr="00804C33">
        <w:rPr>
          <w:rFonts w:ascii="Calibri" w:eastAsia="Times New Roman" w:hAnsi="Calibri" w:cs="Calibri"/>
          <w:color w:val="0070C0"/>
          <w:kern w:val="0"/>
          <w:sz w:val="21"/>
          <w:szCs w:val="21"/>
          <w:lang w:eastAsia="en-GB"/>
          <w14:ligatures w14:val="none"/>
        </w:rPr>
        <w:t>change the way the regulators work when the whole healthcare system is in upheaval after two years of reform?</w:t>
      </w:r>
    </w:p>
    <w:p w14:paraId="1B18F266" w14:textId="44206BAA" w:rsidR="00AF79F4" w:rsidRPr="00804C33" w:rsidRDefault="00AF79F4" w:rsidP="00804C33">
      <w:pPr>
        <w:numPr>
          <w:ilvl w:val="0"/>
          <w:numId w:val="1"/>
        </w:numPr>
        <w:shd w:val="clear" w:color="auto" w:fill="FFFFFF"/>
        <w:spacing w:before="100" w:beforeAutospacing="1" w:after="100" w:afterAutospacing="1" w:line="240" w:lineRule="auto"/>
        <w:jc w:val="both"/>
        <w:rPr>
          <w:rFonts w:ascii="Calibri" w:eastAsia="Times New Roman" w:hAnsi="Calibri" w:cs="Calibri"/>
          <w:color w:val="0070C0"/>
          <w:kern w:val="0"/>
          <w:sz w:val="21"/>
          <w:szCs w:val="21"/>
          <w:lang w:eastAsia="en-GB"/>
          <w14:ligatures w14:val="none"/>
        </w:rPr>
      </w:pPr>
      <w:r w:rsidRPr="00804C33">
        <w:rPr>
          <w:rFonts w:ascii="Calibri" w:eastAsia="Times New Roman" w:hAnsi="Calibri" w:cs="Calibri"/>
          <w:color w:val="000000"/>
          <w:kern w:val="0"/>
          <w:sz w:val="21"/>
          <w:szCs w:val="21"/>
          <w:lang w:eastAsia="en-GB"/>
          <w14:ligatures w14:val="none"/>
        </w:rPr>
        <w:t xml:space="preserve">Right-sized regulation: </w:t>
      </w:r>
      <w:r w:rsidR="00451052" w:rsidRPr="00804C33">
        <w:rPr>
          <w:rFonts w:ascii="Calibri" w:eastAsia="Times New Roman" w:hAnsi="Calibri" w:cs="Calibri"/>
          <w:color w:val="000000"/>
          <w:kern w:val="0"/>
          <w:sz w:val="21"/>
          <w:szCs w:val="21"/>
          <w:lang w:eastAsia="en-GB"/>
          <w14:ligatures w14:val="none"/>
        </w:rPr>
        <w:t>R</w:t>
      </w:r>
      <w:r w:rsidRPr="00804C33">
        <w:rPr>
          <w:rFonts w:ascii="Calibri" w:eastAsia="Times New Roman" w:hAnsi="Calibri" w:cs="Calibri"/>
          <w:color w:val="000000"/>
          <w:kern w:val="0"/>
          <w:sz w:val="21"/>
          <w:szCs w:val="21"/>
          <w:lang w:eastAsia="en-GB"/>
          <w14:ligatures w14:val="none"/>
        </w:rPr>
        <w:t xml:space="preserve">egulation on the level of risk to public safety </w:t>
      </w:r>
      <w:r w:rsidRPr="00804C33">
        <w:rPr>
          <w:rFonts w:ascii="Calibri" w:eastAsia="Times New Roman" w:hAnsi="Calibri" w:cs="Calibri"/>
          <w:color w:val="0070C0"/>
          <w:kern w:val="0"/>
          <w:sz w:val="21"/>
          <w:szCs w:val="21"/>
          <w:lang w:eastAsia="en-GB"/>
          <w14:ligatures w14:val="none"/>
        </w:rPr>
        <w:t xml:space="preserve">is already the </w:t>
      </w:r>
      <w:r w:rsidR="00451052" w:rsidRPr="00804C33">
        <w:rPr>
          <w:rFonts w:ascii="Calibri" w:eastAsia="Times New Roman" w:hAnsi="Calibri" w:cs="Calibri"/>
          <w:color w:val="0070C0"/>
          <w:kern w:val="0"/>
          <w:sz w:val="21"/>
          <w:szCs w:val="21"/>
          <w:lang w:eastAsia="en-GB"/>
          <w14:ligatures w14:val="none"/>
        </w:rPr>
        <w:t xml:space="preserve">main </w:t>
      </w:r>
      <w:r w:rsidRPr="00804C33">
        <w:rPr>
          <w:rFonts w:ascii="Calibri" w:eastAsia="Times New Roman" w:hAnsi="Calibri" w:cs="Calibri"/>
          <w:color w:val="0070C0"/>
          <w:kern w:val="0"/>
          <w:sz w:val="21"/>
          <w:szCs w:val="21"/>
          <w:lang w:eastAsia="en-GB"/>
          <w14:ligatures w14:val="none"/>
        </w:rPr>
        <w:t xml:space="preserve">focus of the </w:t>
      </w:r>
      <w:r w:rsidR="00451052" w:rsidRPr="00804C33">
        <w:rPr>
          <w:rFonts w:ascii="Calibri" w:eastAsia="Times New Roman" w:hAnsi="Calibri" w:cs="Calibri"/>
          <w:color w:val="0070C0"/>
          <w:kern w:val="0"/>
          <w:sz w:val="21"/>
          <w:szCs w:val="21"/>
          <w:lang w:eastAsia="en-GB"/>
          <w14:ligatures w14:val="none"/>
        </w:rPr>
        <w:t xml:space="preserve">New Zealand </w:t>
      </w:r>
      <w:r w:rsidRPr="00804C33">
        <w:rPr>
          <w:rFonts w:ascii="Calibri" w:eastAsia="Times New Roman" w:hAnsi="Calibri" w:cs="Calibri"/>
          <w:color w:val="0070C0"/>
          <w:kern w:val="0"/>
          <w:sz w:val="21"/>
          <w:szCs w:val="21"/>
          <w:lang w:eastAsia="en-GB"/>
          <w14:ligatures w14:val="none"/>
        </w:rPr>
        <w:t>health practitioner regulation</w:t>
      </w:r>
      <w:r w:rsidR="00451052" w:rsidRPr="00804C33">
        <w:rPr>
          <w:rFonts w:ascii="Calibri" w:eastAsia="Times New Roman" w:hAnsi="Calibri" w:cs="Calibri"/>
          <w:color w:val="0070C0"/>
          <w:kern w:val="0"/>
          <w:sz w:val="21"/>
          <w:szCs w:val="21"/>
          <w:lang w:eastAsia="en-GB"/>
          <w14:ligatures w14:val="none"/>
        </w:rPr>
        <w:t>. It is unclear what the intent is.</w:t>
      </w:r>
    </w:p>
    <w:p w14:paraId="1E2E9933" w14:textId="435C8A5B" w:rsidR="00451052" w:rsidRPr="00804C33" w:rsidRDefault="00AF79F4" w:rsidP="00804C33">
      <w:pPr>
        <w:numPr>
          <w:ilvl w:val="0"/>
          <w:numId w:val="1"/>
        </w:numPr>
        <w:pBdr>
          <w:bottom w:val="single" w:sz="12" w:space="1" w:color="auto"/>
        </w:pBdr>
        <w:shd w:val="clear" w:color="auto" w:fill="FFFFFF"/>
        <w:spacing w:before="100" w:beforeAutospacing="1" w:after="100" w:afterAutospacing="1" w:line="240" w:lineRule="auto"/>
        <w:jc w:val="both"/>
        <w:rPr>
          <w:rFonts w:ascii="Calibri" w:eastAsia="Times New Roman" w:hAnsi="Calibri" w:cs="Calibri"/>
          <w:color w:val="000000"/>
          <w:kern w:val="0"/>
          <w:sz w:val="21"/>
          <w:szCs w:val="21"/>
          <w:lang w:eastAsia="en-GB"/>
          <w14:ligatures w14:val="none"/>
        </w:rPr>
      </w:pPr>
      <w:r w:rsidRPr="00804C33">
        <w:rPr>
          <w:rFonts w:ascii="Calibri" w:eastAsia="Times New Roman" w:hAnsi="Calibri" w:cs="Calibri"/>
          <w:color w:val="000000"/>
          <w:kern w:val="0"/>
          <w:sz w:val="21"/>
          <w:szCs w:val="21"/>
          <w:lang w:eastAsia="en-GB"/>
          <w14:ligatures w14:val="none"/>
        </w:rPr>
        <w:t xml:space="preserve">Future-proofed regulation: Modernised and adaptive regulation that ensures patients receive the care they need while supporting the workforce to respond to the needs of all New Zealanders. </w:t>
      </w:r>
      <w:r w:rsidRPr="00804C33">
        <w:rPr>
          <w:rFonts w:ascii="Calibri" w:eastAsia="Times New Roman" w:hAnsi="Calibri" w:cs="Calibri"/>
          <w:color w:val="0070C0"/>
          <w:kern w:val="0"/>
          <w:sz w:val="21"/>
          <w:szCs w:val="21"/>
          <w:lang w:eastAsia="en-GB"/>
          <w14:ligatures w14:val="none"/>
        </w:rPr>
        <w:t xml:space="preserve"> The health services all work towards </w:t>
      </w:r>
      <w:r w:rsidR="00D920EA">
        <w:rPr>
          <w:rFonts w:ascii="Calibri" w:eastAsia="Times New Roman" w:hAnsi="Calibri" w:cs="Calibri"/>
          <w:color w:val="0070C0"/>
          <w:kern w:val="0"/>
          <w:sz w:val="21"/>
          <w:szCs w:val="21"/>
          <w:lang w:eastAsia="en-GB"/>
          <w14:ligatures w14:val="none"/>
        </w:rPr>
        <w:t xml:space="preserve">modernised/contemporary </w:t>
      </w:r>
      <w:r w:rsidR="00451052" w:rsidRPr="00804C33">
        <w:rPr>
          <w:rFonts w:ascii="Calibri" w:eastAsia="Times New Roman" w:hAnsi="Calibri" w:cs="Calibri"/>
          <w:color w:val="0070C0"/>
          <w:kern w:val="0"/>
          <w:sz w:val="21"/>
          <w:szCs w:val="21"/>
          <w:lang w:eastAsia="en-GB"/>
          <w14:ligatures w14:val="none"/>
        </w:rPr>
        <w:t>action</w:t>
      </w:r>
      <w:r w:rsidRPr="00804C33">
        <w:rPr>
          <w:rFonts w:ascii="Calibri" w:eastAsia="Times New Roman" w:hAnsi="Calibri" w:cs="Calibri"/>
          <w:color w:val="0070C0"/>
          <w:kern w:val="0"/>
          <w:sz w:val="21"/>
          <w:szCs w:val="21"/>
          <w:lang w:eastAsia="en-GB"/>
          <w14:ligatures w14:val="none"/>
        </w:rPr>
        <w:t>. Regulators have worked</w:t>
      </w:r>
      <w:r w:rsidR="00451052" w:rsidRPr="00804C33">
        <w:rPr>
          <w:rFonts w:ascii="Calibri" w:eastAsia="Times New Roman" w:hAnsi="Calibri" w:cs="Calibri"/>
          <w:color w:val="0070C0"/>
          <w:kern w:val="0"/>
          <w:sz w:val="21"/>
          <w:szCs w:val="21"/>
          <w:lang w:eastAsia="en-GB"/>
          <w14:ligatures w14:val="none"/>
        </w:rPr>
        <w:t xml:space="preserve"> adaptively</w:t>
      </w:r>
      <w:r w:rsidRPr="00804C33">
        <w:rPr>
          <w:rFonts w:ascii="Calibri" w:eastAsia="Times New Roman" w:hAnsi="Calibri" w:cs="Calibri"/>
          <w:color w:val="0070C0"/>
          <w:kern w:val="0"/>
          <w:sz w:val="21"/>
          <w:szCs w:val="21"/>
          <w:lang w:eastAsia="en-GB"/>
          <w14:ligatures w14:val="none"/>
        </w:rPr>
        <w:t xml:space="preserve"> for decades to ensure that regulation adapts to current and future trends</w:t>
      </w:r>
      <w:r w:rsidR="00451052" w:rsidRPr="00804C33">
        <w:rPr>
          <w:rFonts w:ascii="Calibri" w:eastAsia="Times New Roman" w:hAnsi="Calibri" w:cs="Calibri"/>
          <w:color w:val="0070C0"/>
          <w:kern w:val="0"/>
          <w:sz w:val="21"/>
          <w:szCs w:val="21"/>
          <w:lang w:eastAsia="en-GB"/>
          <w14:ligatures w14:val="none"/>
        </w:rPr>
        <w:t xml:space="preserve"> e.g. nurse practitioners with advanced practice, nurse prescribing</w:t>
      </w:r>
      <w:r w:rsidRPr="00804C33">
        <w:rPr>
          <w:rFonts w:ascii="Calibri" w:eastAsia="Times New Roman" w:hAnsi="Calibri" w:cs="Calibri"/>
          <w:color w:val="0070C0"/>
          <w:kern w:val="0"/>
          <w:sz w:val="21"/>
          <w:szCs w:val="21"/>
          <w:lang w:eastAsia="en-GB"/>
          <w14:ligatures w14:val="none"/>
        </w:rPr>
        <w:t xml:space="preserve">. </w:t>
      </w:r>
      <w:r w:rsidR="00451052" w:rsidRPr="00804C33">
        <w:rPr>
          <w:rFonts w:ascii="Calibri" w:eastAsia="Times New Roman" w:hAnsi="Calibri" w:cs="Calibri"/>
          <w:color w:val="0070C0"/>
          <w:kern w:val="0"/>
          <w:sz w:val="21"/>
          <w:szCs w:val="21"/>
          <w:lang w:eastAsia="en-GB"/>
          <w14:ligatures w14:val="none"/>
        </w:rPr>
        <w:t>As the legislative barriers have been removed the Regulator has enabled changes in scope of practice.</w:t>
      </w:r>
    </w:p>
    <w:p w14:paraId="5EFE9285" w14:textId="77777777" w:rsidR="00AF79F4" w:rsidRPr="00804C33" w:rsidRDefault="00AF79F4" w:rsidP="00804C33">
      <w:pPr>
        <w:shd w:val="clear" w:color="auto" w:fill="FFFFFF"/>
        <w:spacing w:before="100" w:beforeAutospacing="1" w:after="100" w:afterAutospacing="1" w:line="240" w:lineRule="auto"/>
        <w:ind w:left="720" w:hanging="720"/>
        <w:jc w:val="both"/>
        <w:rPr>
          <w:rFonts w:ascii="Calibri" w:eastAsia="Times New Roman" w:hAnsi="Calibri" w:cs="Calibri"/>
          <w:b/>
          <w:bCs/>
          <w:color w:val="000000"/>
          <w:kern w:val="0"/>
          <w:sz w:val="21"/>
          <w:szCs w:val="21"/>
          <w:lang w:eastAsia="en-GB"/>
          <w14:ligatures w14:val="none"/>
        </w:rPr>
      </w:pPr>
      <w:r w:rsidRPr="00804C33">
        <w:rPr>
          <w:rFonts w:ascii="Calibri" w:eastAsia="Times New Roman" w:hAnsi="Calibri" w:cs="Calibri"/>
          <w:b/>
          <w:bCs/>
          <w:color w:val="000000"/>
          <w:kern w:val="0"/>
          <w:sz w:val="21"/>
          <w:szCs w:val="21"/>
          <w:lang w:eastAsia="en-GB"/>
          <w14:ligatures w14:val="none"/>
        </w:rPr>
        <w:t>3.</w:t>
      </w:r>
      <w:r w:rsidRPr="00804C33">
        <w:rPr>
          <w:rFonts w:ascii="Calibri" w:eastAsia="Times New Roman" w:hAnsi="Calibri" w:cs="Calibri"/>
          <w:b/>
          <w:bCs/>
          <w:color w:val="000000"/>
          <w:kern w:val="0"/>
          <w:sz w:val="21"/>
          <w:szCs w:val="21"/>
          <w:lang w:eastAsia="en-GB"/>
          <w14:ligatures w14:val="none"/>
        </w:rPr>
        <w:tab/>
        <w:t>Are there any health practitioners who are currently unregulated but should be subject to regulation to ensure clinical safety and access to timely, quality care. HP who are currently unregulated but should be subject to regulation</w:t>
      </w:r>
    </w:p>
    <w:p w14:paraId="4B27C540" w14:textId="5C82C2DB" w:rsidR="00AF79F4" w:rsidRPr="00D920EA" w:rsidRDefault="00AF79F4" w:rsidP="00D920EA">
      <w:pPr>
        <w:ind w:left="720" w:hanging="720"/>
        <w:jc w:val="both"/>
        <w:rPr>
          <w:rFonts w:ascii="Calibri" w:hAnsi="Calibri" w:cs="Calibri"/>
          <w:sz w:val="21"/>
          <w:szCs w:val="21"/>
        </w:rPr>
      </w:pPr>
      <w:r w:rsidRPr="00804C33">
        <w:rPr>
          <w:rFonts w:ascii="Calibri" w:eastAsia="Times New Roman" w:hAnsi="Calibri" w:cs="Calibri"/>
          <w:color w:val="000000"/>
          <w:kern w:val="0"/>
          <w:sz w:val="21"/>
          <w:szCs w:val="21"/>
          <w:lang w:eastAsia="en-GB"/>
          <w14:ligatures w14:val="none"/>
        </w:rPr>
        <w:tab/>
      </w:r>
      <w:r w:rsidRPr="00804C33">
        <w:rPr>
          <w:rFonts w:ascii="Calibri" w:eastAsia="Times New Roman" w:hAnsi="Calibri" w:cs="Calibri"/>
          <w:color w:val="0070C0"/>
          <w:kern w:val="0"/>
          <w:sz w:val="21"/>
          <w:szCs w:val="21"/>
          <w:lang w:eastAsia="en-GB"/>
          <w14:ligatures w14:val="none"/>
        </w:rPr>
        <w:t>Yes. Other professions have sought approval to establish regulation to ensure consumer/ patient safety</w:t>
      </w:r>
      <w:r w:rsidRPr="00804C33">
        <w:rPr>
          <w:rFonts w:ascii="Calibri" w:hAnsi="Calibri" w:cs="Calibri"/>
          <w:color w:val="0070C0"/>
          <w:sz w:val="21"/>
          <w:szCs w:val="21"/>
        </w:rPr>
        <w:t xml:space="preserve">. These professions will make submissions and provide justification for their addition to the regulation systems. </w:t>
      </w:r>
      <w:r w:rsidR="00D920EA">
        <w:rPr>
          <w:rFonts w:ascii="Calibri" w:hAnsi="Calibri" w:cs="Calibri"/>
          <w:sz w:val="21"/>
          <w:szCs w:val="21"/>
        </w:rPr>
        <w:t xml:space="preserve"> </w:t>
      </w:r>
      <w:r w:rsidRPr="00804C33">
        <w:rPr>
          <w:rFonts w:ascii="Calibri" w:hAnsi="Calibri" w:cs="Calibri"/>
          <w:color w:val="0070C0"/>
          <w:sz w:val="21"/>
          <w:szCs w:val="21"/>
        </w:rPr>
        <w:t xml:space="preserve">Regulating Health Care Assistants is supported given their role in patient </w:t>
      </w:r>
      <w:r w:rsidR="00451052" w:rsidRPr="00804C33">
        <w:rPr>
          <w:rFonts w:ascii="Calibri" w:hAnsi="Calibri" w:cs="Calibri"/>
          <w:color w:val="0070C0"/>
          <w:sz w:val="21"/>
          <w:szCs w:val="21"/>
        </w:rPr>
        <w:t>care</w:t>
      </w:r>
      <w:r w:rsidRPr="00804C33">
        <w:rPr>
          <w:rFonts w:ascii="Calibri" w:hAnsi="Calibri" w:cs="Calibri"/>
          <w:color w:val="0070C0"/>
          <w:sz w:val="21"/>
          <w:szCs w:val="21"/>
        </w:rPr>
        <w:t xml:space="preserve"> across the sector</w:t>
      </w:r>
      <w:r w:rsidR="00451052" w:rsidRPr="00804C33">
        <w:rPr>
          <w:rFonts w:ascii="Calibri" w:hAnsi="Calibri" w:cs="Calibri"/>
          <w:color w:val="0070C0"/>
          <w:sz w:val="21"/>
          <w:szCs w:val="21"/>
        </w:rPr>
        <w:t>, often with little supervision.</w:t>
      </w:r>
    </w:p>
    <w:p w14:paraId="4FC71891" w14:textId="77777777" w:rsidR="00AF79F4" w:rsidRPr="00804C33" w:rsidRDefault="00AF79F4" w:rsidP="00804C33">
      <w:pPr>
        <w:shd w:val="clear" w:color="auto" w:fill="FFFFFF"/>
        <w:spacing w:before="100" w:beforeAutospacing="1" w:after="100" w:afterAutospacing="1" w:line="240" w:lineRule="auto"/>
        <w:ind w:left="720" w:hanging="720"/>
        <w:jc w:val="both"/>
        <w:rPr>
          <w:rFonts w:ascii="Calibri" w:eastAsia="Times New Roman" w:hAnsi="Calibri" w:cs="Calibri"/>
          <w:b/>
          <w:bCs/>
          <w:color w:val="000000"/>
          <w:kern w:val="0"/>
          <w:sz w:val="21"/>
          <w:szCs w:val="21"/>
          <w:lang w:eastAsia="en-GB"/>
          <w14:ligatures w14:val="none"/>
        </w:rPr>
      </w:pPr>
      <w:r w:rsidRPr="00804C33">
        <w:rPr>
          <w:rFonts w:ascii="Calibri" w:eastAsia="Times New Roman" w:hAnsi="Calibri" w:cs="Calibri"/>
          <w:b/>
          <w:bCs/>
          <w:color w:val="000000"/>
          <w:kern w:val="0"/>
          <w:sz w:val="21"/>
          <w:szCs w:val="21"/>
          <w:lang w:eastAsia="en-GB"/>
          <w14:ligatures w14:val="none"/>
        </w:rPr>
        <w:t xml:space="preserve">4. </w:t>
      </w:r>
      <w:r w:rsidRPr="00804C33">
        <w:rPr>
          <w:rFonts w:ascii="Calibri" w:eastAsia="Times New Roman" w:hAnsi="Calibri" w:cs="Calibri"/>
          <w:b/>
          <w:bCs/>
          <w:color w:val="000000"/>
          <w:kern w:val="0"/>
          <w:sz w:val="21"/>
          <w:szCs w:val="21"/>
          <w:lang w:eastAsia="en-GB"/>
          <w14:ligatures w14:val="none"/>
        </w:rPr>
        <w:tab/>
        <w:t>Do you think regulators should do more to consider patient needs when making decisions</w:t>
      </w:r>
    </w:p>
    <w:p w14:paraId="2406573B" w14:textId="301E3961" w:rsidR="00AF79F4" w:rsidRPr="00804C33" w:rsidRDefault="00AF79F4" w:rsidP="00804C33">
      <w:pPr>
        <w:shd w:val="clear" w:color="auto" w:fill="FFFFFF"/>
        <w:spacing w:before="100" w:beforeAutospacing="1" w:after="100" w:afterAutospacing="1" w:line="240" w:lineRule="auto"/>
        <w:ind w:left="720" w:hanging="720"/>
        <w:jc w:val="both"/>
        <w:rPr>
          <w:rFonts w:ascii="Calibri" w:eastAsia="Times New Roman" w:hAnsi="Calibri" w:cs="Calibri"/>
          <w:color w:val="000000"/>
          <w:kern w:val="0"/>
          <w:sz w:val="21"/>
          <w:szCs w:val="21"/>
          <w:lang w:eastAsia="en-GB"/>
          <w14:ligatures w14:val="none"/>
        </w:rPr>
      </w:pPr>
      <w:r w:rsidRPr="00804C33">
        <w:rPr>
          <w:rFonts w:ascii="Calibri" w:eastAsia="Times New Roman" w:hAnsi="Calibri" w:cs="Calibri"/>
          <w:color w:val="000000"/>
          <w:kern w:val="0"/>
          <w:sz w:val="21"/>
          <w:szCs w:val="21"/>
          <w:lang w:eastAsia="en-GB"/>
          <w14:ligatures w14:val="none"/>
        </w:rPr>
        <w:tab/>
      </w:r>
      <w:r w:rsidRPr="00804C33">
        <w:rPr>
          <w:rFonts w:ascii="Calibri" w:eastAsia="Times New Roman" w:hAnsi="Calibri" w:cs="Calibri"/>
          <w:color w:val="0070C0"/>
          <w:kern w:val="0"/>
          <w:sz w:val="21"/>
          <w:szCs w:val="21"/>
          <w:lang w:eastAsia="en-GB"/>
          <w14:ligatures w14:val="none"/>
        </w:rPr>
        <w:t xml:space="preserve">Regulators exist to ensure consumer/patient safety by regulating the professional group, approving education standards preparing the professional, approving entry to the profession and ensuring consistent professional behaviour and high standards of practice. Under the Health Practitioner Competence Assurance Act 2003 all professions </w:t>
      </w:r>
      <w:r w:rsidR="00451052" w:rsidRPr="00804C33">
        <w:rPr>
          <w:rFonts w:ascii="Calibri" w:eastAsia="Times New Roman" w:hAnsi="Calibri" w:cs="Calibri"/>
          <w:color w:val="0070C0"/>
          <w:kern w:val="0"/>
          <w:sz w:val="21"/>
          <w:szCs w:val="21"/>
          <w:lang w:eastAsia="en-GB"/>
          <w14:ligatures w14:val="none"/>
        </w:rPr>
        <w:t xml:space="preserve">have </w:t>
      </w:r>
      <w:r w:rsidRPr="00804C33">
        <w:rPr>
          <w:rFonts w:ascii="Calibri" w:eastAsia="Times New Roman" w:hAnsi="Calibri" w:cs="Calibri"/>
          <w:color w:val="0070C0"/>
          <w:kern w:val="0"/>
          <w:sz w:val="21"/>
          <w:szCs w:val="21"/>
          <w:lang w:eastAsia="en-GB"/>
          <w14:ligatures w14:val="none"/>
        </w:rPr>
        <w:t xml:space="preserve">required practitioners to stay up to date with current treatment options and practice. </w:t>
      </w:r>
    </w:p>
    <w:p w14:paraId="224D4322" w14:textId="77777777" w:rsidR="00AF79F4" w:rsidRPr="00804C33" w:rsidRDefault="00AF79F4" w:rsidP="00804C33">
      <w:pPr>
        <w:jc w:val="both"/>
        <w:rPr>
          <w:rFonts w:ascii="Calibri" w:hAnsi="Calibri" w:cs="Calibri"/>
          <w:b/>
          <w:bCs/>
          <w:sz w:val="21"/>
          <w:szCs w:val="21"/>
        </w:rPr>
      </w:pPr>
      <w:r w:rsidRPr="00804C33">
        <w:rPr>
          <w:rFonts w:ascii="Calibri" w:hAnsi="Calibri" w:cs="Calibri"/>
          <w:b/>
          <w:bCs/>
          <w:sz w:val="21"/>
          <w:szCs w:val="21"/>
        </w:rPr>
        <w:t xml:space="preserve">5. </w:t>
      </w:r>
      <w:r w:rsidRPr="00804C33">
        <w:rPr>
          <w:rFonts w:ascii="Calibri" w:hAnsi="Calibri" w:cs="Calibri"/>
          <w:b/>
          <w:bCs/>
          <w:sz w:val="21"/>
          <w:szCs w:val="21"/>
        </w:rPr>
        <w:tab/>
        <w:t>What are some ways regulators could better focus on patient needs</w:t>
      </w:r>
    </w:p>
    <w:p w14:paraId="7B4DB260" w14:textId="2A9364DC" w:rsidR="00804C33" w:rsidRPr="00804C33" w:rsidRDefault="00AF79F4" w:rsidP="00804C33">
      <w:pPr>
        <w:ind w:left="720" w:hanging="720"/>
        <w:jc w:val="both"/>
        <w:rPr>
          <w:rFonts w:ascii="Calibri" w:hAnsi="Calibri" w:cs="Calibri"/>
          <w:b/>
          <w:bCs/>
          <w:color w:val="0070C0"/>
          <w:sz w:val="21"/>
          <w:szCs w:val="21"/>
        </w:rPr>
      </w:pPr>
      <w:r w:rsidRPr="00804C33">
        <w:rPr>
          <w:rFonts w:ascii="Calibri" w:hAnsi="Calibri" w:cs="Calibri"/>
          <w:b/>
          <w:bCs/>
          <w:sz w:val="21"/>
          <w:szCs w:val="21"/>
        </w:rPr>
        <w:tab/>
      </w:r>
      <w:r w:rsidRPr="00804C33">
        <w:rPr>
          <w:rFonts w:ascii="Calibri" w:hAnsi="Calibri" w:cs="Calibri"/>
          <w:color w:val="0070C0"/>
          <w:sz w:val="21"/>
          <w:szCs w:val="21"/>
        </w:rPr>
        <w:t xml:space="preserve">Regulators reliably focus on </w:t>
      </w:r>
      <w:r w:rsidR="00451052" w:rsidRPr="00804C33">
        <w:rPr>
          <w:rFonts w:ascii="Calibri" w:hAnsi="Calibri" w:cs="Calibri"/>
          <w:color w:val="0070C0"/>
          <w:sz w:val="21"/>
          <w:szCs w:val="21"/>
        </w:rPr>
        <w:t xml:space="preserve">ensuring that health professionals are competent to meet the needs of </w:t>
      </w:r>
      <w:r w:rsidRPr="00804C33">
        <w:rPr>
          <w:rFonts w:ascii="Calibri" w:hAnsi="Calibri" w:cs="Calibri"/>
          <w:color w:val="0070C0"/>
          <w:sz w:val="21"/>
          <w:szCs w:val="21"/>
        </w:rPr>
        <w:t>consumer/patient needs for safe care and services. The</w:t>
      </w:r>
      <w:r w:rsidR="00451052" w:rsidRPr="00804C33">
        <w:rPr>
          <w:rFonts w:ascii="Calibri" w:hAnsi="Calibri" w:cs="Calibri"/>
          <w:color w:val="0070C0"/>
          <w:sz w:val="21"/>
          <w:szCs w:val="21"/>
        </w:rPr>
        <w:t xml:space="preserve"> Regulators</w:t>
      </w:r>
      <w:r w:rsidRPr="00804C33">
        <w:rPr>
          <w:rFonts w:ascii="Calibri" w:hAnsi="Calibri" w:cs="Calibri"/>
          <w:color w:val="0070C0"/>
          <w:sz w:val="21"/>
          <w:szCs w:val="21"/>
        </w:rPr>
        <w:t xml:space="preserve"> ensure they listen </w:t>
      </w:r>
      <w:r w:rsidR="00451052" w:rsidRPr="00804C33">
        <w:rPr>
          <w:rFonts w:ascii="Calibri" w:hAnsi="Calibri" w:cs="Calibri"/>
          <w:color w:val="0070C0"/>
          <w:sz w:val="21"/>
          <w:szCs w:val="21"/>
        </w:rPr>
        <w:t>to</w:t>
      </w:r>
      <w:r w:rsidRPr="00804C33">
        <w:rPr>
          <w:rFonts w:ascii="Calibri" w:hAnsi="Calibri" w:cs="Calibri"/>
          <w:color w:val="0070C0"/>
          <w:sz w:val="21"/>
          <w:szCs w:val="21"/>
        </w:rPr>
        <w:t xml:space="preserve"> the frontline service providers to understand current and future needs and work with the Ministry of Health and Government to remove barriers that limits the </w:t>
      </w:r>
      <w:r w:rsidR="00D920EA" w:rsidRPr="00804C33">
        <w:rPr>
          <w:rFonts w:ascii="Calibri" w:hAnsi="Calibri" w:cs="Calibri"/>
          <w:color w:val="0070C0"/>
          <w:sz w:val="21"/>
          <w:szCs w:val="21"/>
        </w:rPr>
        <w:t>professions’</w:t>
      </w:r>
      <w:r w:rsidR="00451052" w:rsidRPr="00804C33">
        <w:rPr>
          <w:rFonts w:ascii="Calibri" w:hAnsi="Calibri" w:cs="Calibri"/>
          <w:color w:val="0070C0"/>
          <w:sz w:val="21"/>
          <w:szCs w:val="21"/>
        </w:rPr>
        <w:t xml:space="preserve"> ability </w:t>
      </w:r>
      <w:r w:rsidRPr="00804C33">
        <w:rPr>
          <w:rFonts w:ascii="Calibri" w:hAnsi="Calibri" w:cs="Calibri"/>
          <w:color w:val="0070C0"/>
          <w:sz w:val="21"/>
          <w:szCs w:val="21"/>
        </w:rPr>
        <w:t>to respond e.g. nurse prescribing, advanced practice roles.</w:t>
      </w:r>
      <w:r w:rsidR="00804C33" w:rsidRPr="00804C33">
        <w:rPr>
          <w:rFonts w:ascii="Calibri" w:hAnsi="Calibri" w:cs="Calibri"/>
          <w:b/>
          <w:bCs/>
          <w:color w:val="0070C0"/>
          <w:sz w:val="21"/>
          <w:szCs w:val="21"/>
        </w:rPr>
        <w:t xml:space="preserve"> </w:t>
      </w:r>
      <w:r w:rsidR="00804C33" w:rsidRPr="00804C33">
        <w:rPr>
          <w:rFonts w:ascii="Calibri" w:hAnsi="Calibri" w:cs="Calibri"/>
          <w:color w:val="0070C0"/>
          <w:sz w:val="21"/>
          <w:szCs w:val="21"/>
        </w:rPr>
        <w:t>In New Zealand, nurses consistently rank as the most trusted profession. The Nursing Council protects patients’ rights to clinically and culturally safe care by ensuring nurses meet professional standards and are fit to practice.</w:t>
      </w:r>
      <w:r w:rsidR="00804C33" w:rsidRPr="00804C33">
        <w:rPr>
          <w:rFonts w:ascii="Calibri" w:hAnsi="Calibri" w:cs="Calibri"/>
          <w:b/>
          <w:bCs/>
          <w:color w:val="0070C0"/>
          <w:sz w:val="21"/>
          <w:szCs w:val="21"/>
        </w:rPr>
        <w:t xml:space="preserve">   </w:t>
      </w:r>
    </w:p>
    <w:p w14:paraId="0E80A72D" w14:textId="77777777" w:rsidR="00AF79F4" w:rsidRPr="00804C33" w:rsidRDefault="00AF79F4" w:rsidP="00804C33">
      <w:pPr>
        <w:ind w:left="720" w:hanging="720"/>
        <w:jc w:val="both"/>
        <w:rPr>
          <w:rFonts w:ascii="Calibri" w:hAnsi="Calibri" w:cs="Calibri"/>
          <w:b/>
          <w:bCs/>
          <w:sz w:val="21"/>
          <w:szCs w:val="21"/>
        </w:rPr>
      </w:pPr>
      <w:r w:rsidRPr="00804C33">
        <w:rPr>
          <w:rFonts w:ascii="Calibri" w:hAnsi="Calibri" w:cs="Calibri"/>
          <w:b/>
          <w:bCs/>
          <w:sz w:val="21"/>
          <w:szCs w:val="21"/>
        </w:rPr>
        <w:t xml:space="preserve">6. </w:t>
      </w:r>
      <w:r w:rsidRPr="00804C33">
        <w:rPr>
          <w:rFonts w:ascii="Calibri" w:hAnsi="Calibri" w:cs="Calibri"/>
          <w:b/>
          <w:bCs/>
          <w:sz w:val="21"/>
          <w:szCs w:val="21"/>
        </w:rPr>
        <w:tab/>
        <w:t>What perspectives, experiences and skills do you think should be represented by the regulators to ensure patient voices are heard?  Perspectives, experiences and skills that should be represented to ensure patients voices are heard</w:t>
      </w:r>
    </w:p>
    <w:p w14:paraId="789A303A" w14:textId="77777777" w:rsidR="00AF79F4" w:rsidRPr="00804C33" w:rsidRDefault="00AF79F4" w:rsidP="00804C33">
      <w:pPr>
        <w:ind w:left="720" w:hanging="720"/>
        <w:jc w:val="both"/>
        <w:rPr>
          <w:rFonts w:ascii="Calibri" w:hAnsi="Calibri" w:cs="Calibri"/>
          <w:color w:val="0070C0"/>
          <w:sz w:val="21"/>
          <w:szCs w:val="21"/>
        </w:rPr>
      </w:pPr>
      <w:r w:rsidRPr="00804C33">
        <w:rPr>
          <w:rFonts w:ascii="Calibri" w:hAnsi="Calibri" w:cs="Calibri"/>
          <w:sz w:val="21"/>
          <w:szCs w:val="21"/>
        </w:rPr>
        <w:tab/>
      </w:r>
      <w:r w:rsidRPr="00804C33">
        <w:rPr>
          <w:rFonts w:ascii="Calibri" w:hAnsi="Calibri" w:cs="Calibri"/>
          <w:color w:val="0070C0"/>
          <w:sz w:val="21"/>
          <w:szCs w:val="21"/>
        </w:rPr>
        <w:t xml:space="preserve">Regulators are not service providers; they support the professionals they represent to ensure that safe and effective care and service is evidence based and appropriate to the needs of the people </w:t>
      </w:r>
      <w:r w:rsidRPr="00804C33">
        <w:rPr>
          <w:rFonts w:ascii="Calibri" w:hAnsi="Calibri" w:cs="Calibri"/>
          <w:color w:val="0070C0"/>
          <w:sz w:val="21"/>
          <w:szCs w:val="21"/>
        </w:rPr>
        <w:lastRenderedPageBreak/>
        <w:t>being served.  There are “lay people” on the councils of the Regulators as well as elected members of the profession.</w:t>
      </w:r>
    </w:p>
    <w:p w14:paraId="4E391AD4" w14:textId="1D452A6E" w:rsidR="00AF79F4" w:rsidRPr="00804C33" w:rsidRDefault="00AF79F4" w:rsidP="00804C33">
      <w:pPr>
        <w:ind w:left="720" w:hanging="720"/>
        <w:jc w:val="both"/>
        <w:rPr>
          <w:rFonts w:ascii="Calibri" w:hAnsi="Calibri" w:cs="Calibri"/>
          <w:color w:val="0070C0"/>
          <w:sz w:val="21"/>
          <w:szCs w:val="21"/>
        </w:rPr>
      </w:pPr>
      <w:r w:rsidRPr="00804C33">
        <w:rPr>
          <w:rFonts w:ascii="Calibri" w:hAnsi="Calibri" w:cs="Calibri"/>
          <w:color w:val="0070C0"/>
          <w:sz w:val="21"/>
          <w:szCs w:val="21"/>
        </w:rPr>
        <w:tab/>
        <w:t>Regulators work with professionals to ensure that best practice standards are upheld. They are experienced in recognising community service needs and social expectations to ensure consistent systems</w:t>
      </w:r>
      <w:r w:rsidR="00451052" w:rsidRPr="00804C33">
        <w:rPr>
          <w:rFonts w:ascii="Calibri" w:hAnsi="Calibri" w:cs="Calibri"/>
          <w:color w:val="0070C0"/>
          <w:sz w:val="21"/>
          <w:szCs w:val="21"/>
        </w:rPr>
        <w:t xml:space="preserve"> and </w:t>
      </w:r>
      <w:r w:rsidRPr="00804C33">
        <w:rPr>
          <w:rFonts w:ascii="Calibri" w:hAnsi="Calibri" w:cs="Calibri"/>
          <w:color w:val="0070C0"/>
          <w:sz w:val="21"/>
          <w:szCs w:val="21"/>
        </w:rPr>
        <w:t>prepare the profession to deliver services needed. Regulators, such as the NCNZ, have representation from members with wide-ranging skills and experience in clinical practice, education, leadership and governance to inform their decisions. Nurses are honest, ethical professionals who advocate on behalf of patients giving them voice.</w:t>
      </w:r>
    </w:p>
    <w:p w14:paraId="13D5A81D" w14:textId="230FA7E4" w:rsidR="00AF79F4" w:rsidRPr="00804C33" w:rsidRDefault="00D920EA" w:rsidP="00D920EA">
      <w:pPr>
        <w:ind w:left="720" w:hanging="720"/>
        <w:jc w:val="both"/>
        <w:rPr>
          <w:rFonts w:ascii="Calibri" w:hAnsi="Calibri" w:cs="Calibri"/>
          <w:b/>
          <w:bCs/>
          <w:sz w:val="21"/>
          <w:szCs w:val="21"/>
        </w:rPr>
      </w:pPr>
      <w:r>
        <w:rPr>
          <w:rFonts w:ascii="Calibri" w:hAnsi="Calibri" w:cs="Calibri"/>
          <w:b/>
          <w:bCs/>
          <w:sz w:val="21"/>
          <w:szCs w:val="21"/>
        </w:rPr>
        <w:tab/>
      </w:r>
      <w:r w:rsidR="00AF79F4" w:rsidRPr="00804C33">
        <w:rPr>
          <w:rFonts w:ascii="Calibri" w:hAnsi="Calibri" w:cs="Calibri"/>
          <w:color w:val="0070C0"/>
          <w:sz w:val="21"/>
          <w:szCs w:val="21"/>
        </w:rPr>
        <w:t>The Regulators have consumers on the Board and professionals who provide perspective and experience to decision making. The Regulators receive feedback and investigate complaints which listens to the patient/consumer voice.</w:t>
      </w:r>
    </w:p>
    <w:p w14:paraId="069F0A6D" w14:textId="7581A46A" w:rsidR="00AF79F4" w:rsidRPr="00804C33" w:rsidRDefault="00AF79F4" w:rsidP="00804C33">
      <w:pPr>
        <w:ind w:left="720" w:hanging="720"/>
        <w:jc w:val="both"/>
        <w:rPr>
          <w:rFonts w:ascii="Calibri" w:hAnsi="Calibri" w:cs="Calibri"/>
          <w:color w:val="0070C0"/>
          <w:sz w:val="21"/>
          <w:szCs w:val="21"/>
        </w:rPr>
      </w:pPr>
      <w:r w:rsidRPr="00804C33">
        <w:rPr>
          <w:rFonts w:ascii="Calibri" w:hAnsi="Calibri" w:cs="Calibri"/>
          <w:color w:val="0070C0"/>
          <w:sz w:val="21"/>
          <w:szCs w:val="21"/>
        </w:rPr>
        <w:tab/>
        <w:t>The Regulators visit professional groups and other forums to listen to what is being said and might need attention.</w:t>
      </w:r>
      <w:r w:rsidR="00804C33" w:rsidRPr="00804C33">
        <w:rPr>
          <w:rFonts w:ascii="Calibri" w:hAnsi="Calibri" w:cs="Calibri"/>
          <w:color w:val="0070C0"/>
          <w:sz w:val="21"/>
          <w:szCs w:val="21"/>
        </w:rPr>
        <w:t xml:space="preserve"> They address professional standards reviews and attend to the issue arising. </w:t>
      </w:r>
    </w:p>
    <w:p w14:paraId="1E5F9951" w14:textId="77777777" w:rsidR="00AF79F4" w:rsidRPr="00804C33" w:rsidRDefault="00AF79F4" w:rsidP="00804C33">
      <w:pPr>
        <w:ind w:left="720" w:hanging="720"/>
        <w:jc w:val="both"/>
        <w:rPr>
          <w:rFonts w:ascii="Calibri" w:hAnsi="Calibri" w:cs="Calibri"/>
          <w:b/>
          <w:bCs/>
          <w:sz w:val="21"/>
          <w:szCs w:val="21"/>
        </w:rPr>
      </w:pPr>
      <w:r w:rsidRPr="00804C33">
        <w:rPr>
          <w:rFonts w:ascii="Calibri" w:hAnsi="Calibri" w:cs="Calibri"/>
          <w:b/>
          <w:bCs/>
          <w:sz w:val="21"/>
          <w:szCs w:val="21"/>
        </w:rPr>
        <w:t xml:space="preserve">7. </w:t>
      </w:r>
      <w:r w:rsidRPr="00804C33">
        <w:rPr>
          <w:rFonts w:ascii="Calibri" w:hAnsi="Calibri" w:cs="Calibri"/>
          <w:b/>
          <w:bCs/>
          <w:sz w:val="21"/>
          <w:szCs w:val="21"/>
        </w:rPr>
        <w:tab/>
        <w:t>Do you agree that regulators should focus on factors beyond clinical safety, for example mandating cultural requirements, or should regulators focus solely on ensuring that the most qualified professional is providing care for the patient?</w:t>
      </w:r>
    </w:p>
    <w:p w14:paraId="54898839" w14:textId="4B7F9F8A" w:rsidR="00AF79F4" w:rsidRPr="00804C33" w:rsidRDefault="00AF79F4" w:rsidP="00804C33">
      <w:pPr>
        <w:ind w:left="720" w:hanging="720"/>
        <w:jc w:val="both"/>
        <w:rPr>
          <w:rFonts w:ascii="Calibri" w:hAnsi="Calibri" w:cs="Calibri"/>
          <w:b/>
          <w:bCs/>
          <w:sz w:val="21"/>
          <w:szCs w:val="21"/>
        </w:rPr>
      </w:pPr>
      <w:r w:rsidRPr="00804C33">
        <w:rPr>
          <w:rFonts w:ascii="Calibri" w:hAnsi="Calibri" w:cs="Calibri"/>
          <w:sz w:val="21"/>
          <w:szCs w:val="21"/>
        </w:rPr>
        <w:tab/>
      </w:r>
      <w:r w:rsidRPr="00804C33">
        <w:rPr>
          <w:rFonts w:ascii="Calibri" w:hAnsi="Calibri" w:cs="Calibri"/>
          <w:color w:val="0070C0"/>
          <w:sz w:val="21"/>
          <w:szCs w:val="21"/>
        </w:rPr>
        <w:t>Clinical practice safety requires a fully rounded professional who has the technical knowledge and skills required for a range of situations, the ability to assess the individual and community needs using critical thinking and advanced interpersonal skills, planning skills that integrates the expertise of the whole health care team to best meet the needs, confident interventions to achieve the expected outcomes and evaluation that the intervention has achieved the expectations. To assess the individual or community, the professional must understand the person, their cultural influences and responses to be able to work with them as a partner to achieve the best outcome for them.  Yes – the Regulators should focus on requiring that the professional has the full set of skills and is able to communicate in a culturally sensitive manner, able to listen to the ‘patient voice’. The most qualified professional must have the ability to do more than tasks, they must be able to work with the human person and community in front of them. Clinical practice must be culturally safe. Better health outcomes for patients and the health system occurs when practitioners / nurses respect a patient's cultural beliefs, values and practices.</w:t>
      </w:r>
      <w:r w:rsidRPr="00804C33">
        <w:rPr>
          <w:rFonts w:ascii="Calibri" w:hAnsi="Calibri" w:cs="Calibri"/>
          <w:sz w:val="21"/>
          <w:szCs w:val="21"/>
        </w:rPr>
        <w:t xml:space="preserve"> </w:t>
      </w:r>
      <w:r w:rsidRPr="00804C33">
        <w:rPr>
          <w:rFonts w:ascii="Calibri" w:hAnsi="Calibri" w:cs="Calibri"/>
          <w:color w:val="0070C0"/>
          <w:sz w:val="21"/>
          <w:szCs w:val="21"/>
        </w:rPr>
        <w:t xml:space="preserve">Quality consumer/patient care must be culturally appropriate and safe – which </w:t>
      </w:r>
      <w:r w:rsidR="00D920EA">
        <w:rPr>
          <w:rFonts w:ascii="Calibri" w:hAnsi="Calibri" w:cs="Calibri"/>
          <w:color w:val="0070C0"/>
          <w:sz w:val="21"/>
          <w:szCs w:val="21"/>
        </w:rPr>
        <w:t>is</w:t>
      </w:r>
      <w:r w:rsidRPr="00804C33">
        <w:rPr>
          <w:rFonts w:ascii="Calibri" w:hAnsi="Calibri" w:cs="Calibri"/>
          <w:color w:val="0070C0"/>
          <w:sz w:val="21"/>
          <w:szCs w:val="21"/>
        </w:rPr>
        <w:t xml:space="preserve"> included in the professional standards of the regulatory body.</w:t>
      </w:r>
    </w:p>
    <w:p w14:paraId="3B3BDDB5" w14:textId="77777777" w:rsidR="00AF79F4" w:rsidRPr="00804C33" w:rsidRDefault="00AF79F4" w:rsidP="00804C33">
      <w:pPr>
        <w:ind w:left="720" w:hanging="720"/>
        <w:jc w:val="both"/>
        <w:rPr>
          <w:rFonts w:ascii="Calibri" w:hAnsi="Calibri" w:cs="Calibri"/>
          <w:b/>
          <w:bCs/>
          <w:sz w:val="21"/>
          <w:szCs w:val="21"/>
        </w:rPr>
      </w:pPr>
      <w:r w:rsidRPr="00804C33">
        <w:rPr>
          <w:rFonts w:ascii="Calibri" w:hAnsi="Calibri" w:cs="Calibri"/>
          <w:b/>
          <w:bCs/>
          <w:sz w:val="21"/>
          <w:szCs w:val="21"/>
        </w:rPr>
        <w:t xml:space="preserve">8. </w:t>
      </w:r>
      <w:r w:rsidRPr="00804C33">
        <w:rPr>
          <w:rFonts w:ascii="Calibri" w:hAnsi="Calibri" w:cs="Calibri"/>
          <w:b/>
          <w:bCs/>
          <w:sz w:val="21"/>
          <w:szCs w:val="21"/>
        </w:rPr>
        <w:tab/>
        <w:t>Do you think regulators should be required to consider the impact of their decisions on competition and patient access when setting standards and requirements?</w:t>
      </w:r>
    </w:p>
    <w:p w14:paraId="02B52AEB" w14:textId="77777777" w:rsidR="00AF79F4" w:rsidRPr="00804C33" w:rsidRDefault="00AF79F4" w:rsidP="00804C33">
      <w:pPr>
        <w:ind w:left="720" w:hanging="720"/>
        <w:jc w:val="both"/>
        <w:rPr>
          <w:rFonts w:ascii="Calibri" w:hAnsi="Calibri" w:cs="Calibri"/>
          <w:b/>
          <w:bCs/>
          <w:sz w:val="21"/>
          <w:szCs w:val="21"/>
        </w:rPr>
      </w:pPr>
      <w:r w:rsidRPr="00804C33">
        <w:rPr>
          <w:rFonts w:ascii="Calibri" w:hAnsi="Calibri" w:cs="Calibri"/>
          <w:b/>
          <w:bCs/>
          <w:color w:val="0070C0"/>
          <w:sz w:val="21"/>
          <w:szCs w:val="21"/>
        </w:rPr>
        <w:tab/>
      </w:r>
      <w:r w:rsidRPr="00804C33">
        <w:rPr>
          <w:rFonts w:ascii="Calibri" w:hAnsi="Calibri" w:cs="Calibri"/>
          <w:color w:val="0070C0"/>
          <w:sz w:val="21"/>
          <w:szCs w:val="21"/>
        </w:rPr>
        <w:t>This is not the role of the Regulators.</w:t>
      </w:r>
      <w:r w:rsidRPr="00804C33">
        <w:rPr>
          <w:rFonts w:ascii="Calibri" w:hAnsi="Calibri" w:cs="Calibri"/>
          <w:b/>
          <w:bCs/>
          <w:color w:val="0070C0"/>
          <w:sz w:val="21"/>
          <w:szCs w:val="21"/>
        </w:rPr>
        <w:t xml:space="preserve">  </w:t>
      </w:r>
      <w:r w:rsidRPr="00804C33">
        <w:rPr>
          <w:rFonts w:ascii="Calibri" w:hAnsi="Calibri" w:cs="Calibri"/>
          <w:color w:val="0070C0"/>
          <w:sz w:val="21"/>
          <w:szCs w:val="21"/>
        </w:rPr>
        <w:t>Service providers i.e. Te Whatu Ora Health NZ, private providers and independent providers are responsible for the planning of services, competitors and access issues. Education providers and Government fundings and policy decisions influence the supply of workforce through funding of available training positions or immigration decisions.  Regulators ensure that the professionals registered to work in the sector have legitimate qualifications, have relevant and contemporary experience and are safe practitioners. They have no role in decisions affecting competition or patient access.</w:t>
      </w:r>
      <w:r w:rsidRPr="00804C33">
        <w:rPr>
          <w:rFonts w:ascii="Calibri" w:hAnsi="Calibri" w:cs="Calibri"/>
          <w:sz w:val="21"/>
          <w:szCs w:val="21"/>
        </w:rPr>
        <w:t xml:space="preserve"> </w:t>
      </w:r>
      <w:r w:rsidRPr="00804C33">
        <w:rPr>
          <w:rFonts w:ascii="Calibri" w:hAnsi="Calibri" w:cs="Calibri"/>
          <w:color w:val="0070C0"/>
          <w:sz w:val="21"/>
          <w:szCs w:val="21"/>
        </w:rPr>
        <w:t>Regulators are responsible for maintaining and monitoring health professional standards.</w:t>
      </w:r>
      <w:r w:rsidRPr="00804C33">
        <w:rPr>
          <w:rFonts w:ascii="Calibri" w:hAnsi="Calibri" w:cs="Calibri"/>
          <w:b/>
          <w:bCs/>
          <w:color w:val="0070C0"/>
          <w:sz w:val="21"/>
          <w:szCs w:val="21"/>
        </w:rPr>
        <w:t xml:space="preserve"> </w:t>
      </w:r>
    </w:p>
    <w:p w14:paraId="7B3C3BC1" w14:textId="77777777" w:rsidR="00AF79F4" w:rsidRPr="00804C33" w:rsidRDefault="00AF79F4" w:rsidP="00804C33">
      <w:pPr>
        <w:jc w:val="both"/>
        <w:rPr>
          <w:rFonts w:ascii="Calibri" w:hAnsi="Calibri" w:cs="Calibri"/>
          <w:b/>
          <w:bCs/>
          <w:sz w:val="21"/>
          <w:szCs w:val="21"/>
        </w:rPr>
      </w:pPr>
      <w:r w:rsidRPr="00804C33">
        <w:rPr>
          <w:rFonts w:ascii="Calibri" w:hAnsi="Calibri" w:cs="Calibri"/>
          <w:b/>
          <w:bCs/>
          <w:sz w:val="21"/>
          <w:szCs w:val="21"/>
        </w:rPr>
        <w:t>Streamlined regulation</w:t>
      </w:r>
    </w:p>
    <w:p w14:paraId="50CD58C5" w14:textId="77777777" w:rsidR="00AF79F4" w:rsidRPr="00804C33" w:rsidRDefault="00AF79F4" w:rsidP="00804C33">
      <w:pPr>
        <w:pStyle w:val="ListParagraph"/>
        <w:numPr>
          <w:ilvl w:val="0"/>
          <w:numId w:val="2"/>
        </w:numPr>
        <w:jc w:val="both"/>
        <w:rPr>
          <w:rFonts w:ascii="Calibri" w:hAnsi="Calibri" w:cs="Calibri"/>
          <w:b/>
          <w:bCs/>
          <w:sz w:val="21"/>
          <w:szCs w:val="21"/>
        </w:rPr>
      </w:pPr>
      <w:r w:rsidRPr="00804C33">
        <w:rPr>
          <w:rFonts w:ascii="Calibri" w:hAnsi="Calibri" w:cs="Calibri"/>
          <w:b/>
          <w:bCs/>
          <w:sz w:val="21"/>
          <w:szCs w:val="21"/>
        </w:rPr>
        <w:t xml:space="preserve">How important is it to you that health professions are regulated by separate regulators, given the potential for inefficiency, higher costs, and duplication of tasks? </w:t>
      </w:r>
    </w:p>
    <w:p w14:paraId="70D35F7F"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 xml:space="preserve">The Regulator that understands the profession and expectations of contemporary practice must oversee the regulation of the profession. The Health Practitioner Competence Assurance Act 2003 </w:t>
      </w:r>
      <w:r w:rsidRPr="00804C33">
        <w:rPr>
          <w:rFonts w:ascii="Calibri" w:hAnsi="Calibri" w:cs="Calibri"/>
          <w:color w:val="0070C0"/>
          <w:sz w:val="21"/>
          <w:szCs w:val="21"/>
        </w:rPr>
        <w:lastRenderedPageBreak/>
        <w:t xml:space="preserve">brought together generic expectations of health practitioners but retained the professional oversight of the professional group in recognition of the work required to ensure compliance. </w:t>
      </w:r>
    </w:p>
    <w:p w14:paraId="7803747C"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The back-office functions of administration can be managed by a generic agency, and this has already happened with Nursing and several of the smaller Regulators who have shared resources and are the most cost effective. This allows for a smaller Annual Practising Certificate cost which nurses pay themselves. The cost of investigating practice complaints is managed in a cost-effective manner. The current process is not inefficient or high costs and is similar to what happens internationally.</w:t>
      </w:r>
    </w:p>
    <w:p w14:paraId="3798A1DF"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It is not clear what is ‘broken’ that needs to be fixed.</w:t>
      </w:r>
    </w:p>
    <w:p w14:paraId="7586C658" w14:textId="77777777" w:rsidR="00AF79F4" w:rsidRPr="00804C33" w:rsidRDefault="00AF79F4" w:rsidP="00804C33">
      <w:pPr>
        <w:ind w:left="720" w:hanging="720"/>
        <w:jc w:val="both"/>
        <w:rPr>
          <w:rFonts w:ascii="Calibri" w:hAnsi="Calibri" w:cs="Calibri"/>
          <w:color w:val="0070C0"/>
          <w:sz w:val="21"/>
          <w:szCs w:val="21"/>
        </w:rPr>
      </w:pPr>
      <w:r w:rsidRPr="00804C33">
        <w:rPr>
          <w:rFonts w:ascii="Calibri" w:hAnsi="Calibri" w:cs="Calibri"/>
          <w:color w:val="0070C0"/>
          <w:sz w:val="21"/>
          <w:szCs w:val="21"/>
        </w:rPr>
        <w:tab/>
        <w:t xml:space="preserve">NCNZ is funded from nurses’ payments of their annual practicing certificate (APC). This enables Council to focus on Nurses, the largest health professional group (about 80,000). The Council protect the public by setting standards for the Nursing profession in New Zealand. If Nursing Council were to be merged with other regulators the focus would shift away from Nursing and the monitoring of 80,0000 nurses.  The public are at increased risk if nurses are combined with other professional groups and the single large regulator is generic. </w:t>
      </w:r>
    </w:p>
    <w:p w14:paraId="4E74121B" w14:textId="77777777" w:rsidR="00AF79F4" w:rsidRPr="00804C33" w:rsidRDefault="00AF79F4" w:rsidP="00804C33">
      <w:pPr>
        <w:pStyle w:val="ListParagraph"/>
        <w:jc w:val="both"/>
        <w:rPr>
          <w:rFonts w:ascii="Calibri" w:hAnsi="Calibri" w:cs="Calibri"/>
          <w:color w:val="0070C0"/>
          <w:sz w:val="21"/>
          <w:szCs w:val="21"/>
        </w:rPr>
      </w:pPr>
    </w:p>
    <w:p w14:paraId="55E784A0" w14:textId="77777777" w:rsidR="00AF79F4" w:rsidRPr="00804C33" w:rsidRDefault="00AF79F4" w:rsidP="00804C33">
      <w:pPr>
        <w:pStyle w:val="ListParagraph"/>
        <w:numPr>
          <w:ilvl w:val="0"/>
          <w:numId w:val="2"/>
        </w:numPr>
        <w:jc w:val="both"/>
        <w:rPr>
          <w:rFonts w:ascii="Calibri" w:hAnsi="Calibri" w:cs="Calibri"/>
          <w:b/>
          <w:bCs/>
          <w:sz w:val="21"/>
          <w:szCs w:val="21"/>
        </w:rPr>
      </w:pPr>
      <w:r w:rsidRPr="00804C33">
        <w:rPr>
          <w:rFonts w:ascii="Calibri" w:hAnsi="Calibri" w:cs="Calibri"/>
          <w:b/>
          <w:bCs/>
          <w:sz w:val="21"/>
          <w:szCs w:val="21"/>
        </w:rPr>
        <w:t>To help improve efficiency and reduce unnecessary costs, would you support combining some regulators?</w:t>
      </w:r>
    </w:p>
    <w:p w14:paraId="2DD7E0C4"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As above, there is a model of joined up back-office functions. Bringing it all together would add cost to the system as all processes would need to be redesigned and confusion would take time to resolve. This will cause delay in processing and potential errors.</w:t>
      </w:r>
    </w:p>
    <w:p w14:paraId="4DD69598" w14:textId="77777777" w:rsidR="00AF79F4" w:rsidRPr="00804C33" w:rsidRDefault="00AF79F4" w:rsidP="00804C33">
      <w:pPr>
        <w:pStyle w:val="ListParagraph"/>
        <w:jc w:val="both"/>
        <w:rPr>
          <w:rFonts w:ascii="Calibri" w:hAnsi="Calibri" w:cs="Calibri"/>
          <w:b/>
          <w:bCs/>
          <w:sz w:val="21"/>
          <w:szCs w:val="21"/>
        </w:rPr>
      </w:pPr>
    </w:p>
    <w:p w14:paraId="3C35D29E" w14:textId="77777777" w:rsidR="00AF79F4" w:rsidRPr="00804C33" w:rsidRDefault="00AF79F4" w:rsidP="00804C33">
      <w:pPr>
        <w:jc w:val="both"/>
        <w:rPr>
          <w:rFonts w:ascii="Calibri" w:hAnsi="Calibri" w:cs="Calibri"/>
          <w:b/>
          <w:bCs/>
          <w:sz w:val="21"/>
          <w:szCs w:val="21"/>
        </w:rPr>
      </w:pPr>
      <w:r w:rsidRPr="00804C33">
        <w:rPr>
          <w:rFonts w:ascii="Calibri" w:hAnsi="Calibri" w:cs="Calibri"/>
          <w:b/>
          <w:bCs/>
          <w:sz w:val="21"/>
          <w:szCs w:val="21"/>
        </w:rPr>
        <w:t xml:space="preserve">Right sized regulation </w:t>
      </w:r>
    </w:p>
    <w:p w14:paraId="77DDCE89" w14:textId="77777777" w:rsidR="00AF79F4" w:rsidRPr="00804C33" w:rsidRDefault="00AF79F4" w:rsidP="00804C33">
      <w:pPr>
        <w:pStyle w:val="ListParagraph"/>
        <w:numPr>
          <w:ilvl w:val="0"/>
          <w:numId w:val="3"/>
        </w:numPr>
        <w:jc w:val="both"/>
        <w:rPr>
          <w:rFonts w:ascii="Calibri" w:hAnsi="Calibri" w:cs="Calibri"/>
          <w:b/>
          <w:bCs/>
          <w:sz w:val="21"/>
          <w:szCs w:val="21"/>
        </w:rPr>
      </w:pPr>
      <w:r w:rsidRPr="00804C33">
        <w:rPr>
          <w:rFonts w:ascii="Calibri" w:hAnsi="Calibri" w:cs="Calibri"/>
          <w:b/>
          <w:bCs/>
          <w:sz w:val="21"/>
          <w:szCs w:val="21"/>
        </w:rPr>
        <w:t>Do you agree that these regulatory options should be available in addition to current regulation system?</w:t>
      </w:r>
    </w:p>
    <w:p w14:paraId="1349677E" w14:textId="77777777" w:rsidR="00AF79F4" w:rsidRPr="00804C33" w:rsidRDefault="00AF79F4" w:rsidP="00804C33">
      <w:pPr>
        <w:ind w:left="720"/>
        <w:jc w:val="both"/>
        <w:rPr>
          <w:rFonts w:ascii="Calibri" w:hAnsi="Calibri" w:cs="Calibri"/>
          <w:color w:val="0070C0"/>
          <w:sz w:val="21"/>
          <w:szCs w:val="21"/>
        </w:rPr>
      </w:pPr>
      <w:r w:rsidRPr="00804C33">
        <w:rPr>
          <w:rFonts w:ascii="Calibri" w:hAnsi="Calibri" w:cs="Calibri"/>
          <w:color w:val="0070C0"/>
          <w:sz w:val="21"/>
          <w:szCs w:val="21"/>
        </w:rPr>
        <w:t>There is no evidence provided that suggests that the current regulation system is needing to be ‘right sized’. Has a study been done that shows clearly that there is a problem – if so, please can this be published. From the experience of dealing with the Regulator, systems have become increasingly clear, efficient and responsive. Having one big system where the person is moved from department to department is less efficient and does not foster trust.</w:t>
      </w:r>
    </w:p>
    <w:p w14:paraId="0213FADC" w14:textId="77777777" w:rsidR="00AF79F4" w:rsidRPr="00804C33" w:rsidRDefault="00AF79F4" w:rsidP="00804C33">
      <w:pPr>
        <w:ind w:left="720" w:hanging="720"/>
        <w:jc w:val="both"/>
        <w:rPr>
          <w:rFonts w:ascii="Calibri" w:hAnsi="Calibri" w:cs="Calibri"/>
          <w:color w:val="0070C0"/>
          <w:sz w:val="21"/>
          <w:szCs w:val="21"/>
        </w:rPr>
      </w:pPr>
      <w:r w:rsidRPr="00804C33">
        <w:rPr>
          <w:rFonts w:ascii="Calibri" w:hAnsi="Calibri" w:cs="Calibri"/>
          <w:color w:val="0070C0"/>
          <w:sz w:val="21"/>
          <w:szCs w:val="21"/>
        </w:rPr>
        <w:tab/>
        <w:t xml:space="preserve">Yes. NCNZ has demonstrated engagement with stakeholders in the past and is expected to engage in the future to review regulatory options. </w:t>
      </w:r>
    </w:p>
    <w:p w14:paraId="538B723C" w14:textId="77777777" w:rsidR="00AF79F4" w:rsidRPr="00804C33" w:rsidRDefault="00AF79F4" w:rsidP="00804C33">
      <w:pPr>
        <w:pStyle w:val="ListParagraph"/>
        <w:numPr>
          <w:ilvl w:val="0"/>
          <w:numId w:val="3"/>
        </w:numPr>
        <w:jc w:val="both"/>
        <w:rPr>
          <w:rFonts w:ascii="Calibri" w:hAnsi="Calibri" w:cs="Calibri"/>
          <w:b/>
          <w:bCs/>
          <w:sz w:val="21"/>
          <w:szCs w:val="21"/>
        </w:rPr>
      </w:pPr>
      <w:r w:rsidRPr="00804C33">
        <w:rPr>
          <w:rFonts w:ascii="Calibri" w:hAnsi="Calibri" w:cs="Calibri"/>
          <w:b/>
          <w:bCs/>
          <w:sz w:val="21"/>
          <w:szCs w:val="21"/>
        </w:rPr>
        <w:t>Do you think New Zealand’s regulatory requirements for health workforce training, such as the requirement for nursing students to complete 1000 hours of clinical experience compared to 800 hours in Australia should be reviewed to ensure they are proportionate and do not create unnecessary barriers to workforce entry?</w:t>
      </w:r>
    </w:p>
    <w:p w14:paraId="27AA3700" w14:textId="6F1745BE"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 xml:space="preserve">Comparing one jurisdiction with another in a statement as above is not helpful. In New Zealand we have worked hard to develop a </w:t>
      </w:r>
      <w:r w:rsidR="00D920EA">
        <w:rPr>
          <w:rFonts w:ascii="Calibri" w:hAnsi="Calibri" w:cs="Calibri"/>
          <w:color w:val="0070C0"/>
          <w:sz w:val="21"/>
          <w:szCs w:val="21"/>
        </w:rPr>
        <w:t>‘</w:t>
      </w:r>
      <w:r w:rsidRPr="00804C33">
        <w:rPr>
          <w:rFonts w:ascii="Calibri" w:hAnsi="Calibri" w:cs="Calibri"/>
          <w:color w:val="0070C0"/>
          <w:sz w:val="21"/>
          <w:szCs w:val="21"/>
        </w:rPr>
        <w:t>comprehensive practitioner</w:t>
      </w:r>
      <w:r w:rsidR="00D920EA">
        <w:rPr>
          <w:rFonts w:ascii="Calibri" w:hAnsi="Calibri" w:cs="Calibri"/>
          <w:color w:val="0070C0"/>
          <w:sz w:val="21"/>
          <w:szCs w:val="21"/>
        </w:rPr>
        <w:t>’</w:t>
      </w:r>
      <w:r w:rsidRPr="00804C33">
        <w:rPr>
          <w:rFonts w:ascii="Calibri" w:hAnsi="Calibri" w:cs="Calibri"/>
          <w:color w:val="0070C0"/>
          <w:sz w:val="21"/>
          <w:szCs w:val="21"/>
        </w:rPr>
        <w:t xml:space="preserve"> so they can work in a safe manner in a range of settings. New Zealand nurses are held in high esteem internationally for their core experience and adaptability because of their preparation. In countries where nurses have narrow preparation, many then do post registration specialist courses to have the relevant expertise to work in a non-generic setting</w:t>
      </w:r>
      <w:r w:rsidR="00D920EA">
        <w:rPr>
          <w:rFonts w:ascii="Calibri" w:hAnsi="Calibri" w:cs="Calibri"/>
          <w:color w:val="0070C0"/>
          <w:sz w:val="21"/>
          <w:szCs w:val="21"/>
        </w:rPr>
        <w:t>s</w:t>
      </w:r>
      <w:r w:rsidRPr="00804C33">
        <w:rPr>
          <w:rFonts w:ascii="Calibri" w:hAnsi="Calibri" w:cs="Calibri"/>
          <w:color w:val="0070C0"/>
          <w:sz w:val="21"/>
          <w:szCs w:val="21"/>
        </w:rPr>
        <w:t xml:space="preserve"> or role</w:t>
      </w:r>
      <w:r w:rsidR="00D920EA">
        <w:rPr>
          <w:rFonts w:ascii="Calibri" w:hAnsi="Calibri" w:cs="Calibri"/>
          <w:color w:val="0070C0"/>
          <w:sz w:val="21"/>
          <w:szCs w:val="21"/>
        </w:rPr>
        <w:t>s</w:t>
      </w:r>
      <w:r w:rsidRPr="00804C33">
        <w:rPr>
          <w:rFonts w:ascii="Calibri" w:hAnsi="Calibri" w:cs="Calibri"/>
          <w:color w:val="0070C0"/>
          <w:sz w:val="21"/>
          <w:szCs w:val="21"/>
        </w:rPr>
        <w:t>.  Experience has shown that graduates who have inadequate preparation require additional support in new graduate programmes to function confidently.  Careful review of the quality of the education in the undergraduate hours needs attention regardless of 1000 or 800 hours. Is there evidence that the number of hours causes a barrier to workforce entry?</w:t>
      </w:r>
    </w:p>
    <w:p w14:paraId="480CC541" w14:textId="77777777" w:rsidR="00AF79F4" w:rsidRPr="00804C33" w:rsidRDefault="00AF79F4" w:rsidP="00804C33">
      <w:pPr>
        <w:ind w:left="720" w:hanging="720"/>
        <w:jc w:val="both"/>
        <w:rPr>
          <w:rFonts w:ascii="Calibri" w:hAnsi="Calibri" w:cs="Calibri"/>
          <w:sz w:val="21"/>
          <w:szCs w:val="21"/>
        </w:rPr>
      </w:pPr>
      <w:r w:rsidRPr="00804C33">
        <w:rPr>
          <w:rFonts w:ascii="Calibri" w:hAnsi="Calibri" w:cs="Calibri"/>
          <w:b/>
          <w:bCs/>
          <w:sz w:val="21"/>
          <w:szCs w:val="21"/>
        </w:rPr>
        <w:lastRenderedPageBreak/>
        <w:tab/>
      </w:r>
      <w:r w:rsidRPr="00804C33">
        <w:rPr>
          <w:rFonts w:ascii="Calibri" w:hAnsi="Calibri" w:cs="Calibri"/>
          <w:color w:val="0070C0"/>
          <w:sz w:val="21"/>
          <w:szCs w:val="21"/>
        </w:rPr>
        <w:t xml:space="preserve">NCNZ continues to review the Enrolled Nurse, Registered Nurse and Nurse Practitioner scopes of practice to maintain standards for competence and ensure relevance in changing health system contexts.  </w:t>
      </w:r>
    </w:p>
    <w:p w14:paraId="2CF828AE" w14:textId="77777777" w:rsidR="00AF79F4" w:rsidRPr="00804C33" w:rsidRDefault="00AF79F4" w:rsidP="00804C33">
      <w:pPr>
        <w:pStyle w:val="ListParagraph"/>
        <w:numPr>
          <w:ilvl w:val="0"/>
          <w:numId w:val="3"/>
        </w:numPr>
        <w:jc w:val="both"/>
        <w:rPr>
          <w:rFonts w:ascii="Calibri" w:hAnsi="Calibri" w:cs="Calibri"/>
          <w:b/>
          <w:bCs/>
          <w:sz w:val="21"/>
          <w:szCs w:val="21"/>
        </w:rPr>
      </w:pPr>
      <w:r w:rsidRPr="00804C33">
        <w:rPr>
          <w:rFonts w:ascii="Calibri" w:hAnsi="Calibri" w:cs="Calibri"/>
          <w:b/>
          <w:bCs/>
          <w:sz w:val="21"/>
          <w:szCs w:val="21"/>
        </w:rPr>
        <w:t>Should the Government be able to challenge a regulators decision if it believes the decision goes beyond protecting patient health and safety and instead creates strain on the healthcare system by limiting the workforce?</w:t>
      </w:r>
    </w:p>
    <w:p w14:paraId="473D5B6D" w14:textId="77777777" w:rsidR="00AF79F4" w:rsidRPr="00804C33" w:rsidRDefault="00AF79F4" w:rsidP="00804C33">
      <w:pPr>
        <w:ind w:left="720"/>
        <w:jc w:val="both"/>
        <w:rPr>
          <w:rFonts w:ascii="Calibri" w:hAnsi="Calibri" w:cs="Calibri"/>
          <w:color w:val="0070C0"/>
          <w:sz w:val="21"/>
          <w:szCs w:val="21"/>
        </w:rPr>
      </w:pPr>
      <w:r w:rsidRPr="00804C33">
        <w:rPr>
          <w:rFonts w:ascii="Calibri" w:hAnsi="Calibri" w:cs="Calibri"/>
          <w:color w:val="0070C0"/>
          <w:sz w:val="21"/>
          <w:szCs w:val="21"/>
        </w:rPr>
        <w:t>Independence of the regulator is essential.</w:t>
      </w:r>
    </w:p>
    <w:p w14:paraId="17E931A0" w14:textId="77777777" w:rsidR="00AF79F4" w:rsidRPr="00804C33" w:rsidRDefault="00AF79F4" w:rsidP="00804C33">
      <w:pPr>
        <w:ind w:left="720"/>
        <w:jc w:val="both"/>
        <w:rPr>
          <w:rFonts w:ascii="Calibri" w:hAnsi="Calibri" w:cs="Calibri"/>
          <w:color w:val="0070C0"/>
          <w:sz w:val="21"/>
          <w:szCs w:val="21"/>
        </w:rPr>
      </w:pPr>
      <w:r w:rsidRPr="00804C33">
        <w:rPr>
          <w:rFonts w:ascii="Calibri" w:hAnsi="Calibri" w:cs="Calibri"/>
          <w:color w:val="0070C0"/>
          <w:sz w:val="21"/>
          <w:szCs w:val="21"/>
        </w:rPr>
        <w:t xml:space="preserve">Is there evidence that a Regulator has done more than protect patient and safety or caused strain by limiting the workforce? It would be interesting to read examples of this.  Government policies, employers and Health Service Providers make decisions for the healthcare system and how professionals are employed and funded. This is not a Regulators sphere of influence.  The evidence for who influences health system strain is in the prolonged change management in the health system reform and delayed funding decisions for advanced practice education i.e. Nurse Practitioner courses. </w:t>
      </w:r>
    </w:p>
    <w:p w14:paraId="68219679" w14:textId="77777777" w:rsidR="00AF79F4" w:rsidRPr="00804C33" w:rsidRDefault="00AF79F4" w:rsidP="00804C33">
      <w:pPr>
        <w:ind w:left="720" w:hanging="720"/>
        <w:jc w:val="both"/>
        <w:rPr>
          <w:rFonts w:ascii="Calibri" w:hAnsi="Calibri" w:cs="Calibri"/>
          <w:color w:val="0070C0"/>
          <w:sz w:val="21"/>
          <w:szCs w:val="21"/>
        </w:rPr>
      </w:pPr>
      <w:r w:rsidRPr="00804C33">
        <w:rPr>
          <w:rFonts w:ascii="Calibri" w:hAnsi="Calibri" w:cs="Calibri"/>
          <w:color w:val="0070C0"/>
          <w:sz w:val="21"/>
          <w:szCs w:val="21"/>
        </w:rPr>
        <w:tab/>
        <w:t xml:space="preserve">NCNZ has no role in the recruitment or employment of nurses and does not limit the workforce.  In 2024 some nursing graduates who sat the NCNZ state final examination to become a registered nurse could not get employment because health system, in particular hospitals, did not employ them. Late notice of government funding for the 2025 Nurse Practitioner Training Programme (NPTP) created a strain on the healthcare system with employers having to arrange release time and clinical cover.     </w:t>
      </w:r>
    </w:p>
    <w:p w14:paraId="6B968781" w14:textId="77777777" w:rsidR="00AF79F4" w:rsidRPr="00804C33" w:rsidRDefault="00AF79F4" w:rsidP="00804C33">
      <w:pPr>
        <w:pStyle w:val="ListParagraph"/>
        <w:numPr>
          <w:ilvl w:val="0"/>
          <w:numId w:val="3"/>
        </w:numPr>
        <w:jc w:val="both"/>
        <w:rPr>
          <w:rFonts w:ascii="Calibri" w:hAnsi="Calibri" w:cs="Calibri"/>
          <w:b/>
          <w:bCs/>
          <w:sz w:val="21"/>
          <w:szCs w:val="21"/>
        </w:rPr>
      </w:pPr>
      <w:r w:rsidRPr="00804C33">
        <w:rPr>
          <w:rFonts w:ascii="Calibri" w:hAnsi="Calibri" w:cs="Calibri"/>
          <w:b/>
          <w:bCs/>
          <w:sz w:val="21"/>
          <w:szCs w:val="21"/>
        </w:rPr>
        <w:t>Do you support the creation of an occupations tribunal to review and ensure the registration of overseas-trained practitioners from countries with similar or higher standards than New Zealand, to strengthen our health workforce and deliver timely, quality healthcare?</w:t>
      </w:r>
    </w:p>
    <w:p w14:paraId="08D9611E" w14:textId="77777777" w:rsidR="00AF79F4" w:rsidRPr="00804C33" w:rsidRDefault="00AF79F4" w:rsidP="00804C33">
      <w:pPr>
        <w:ind w:left="720"/>
        <w:jc w:val="both"/>
        <w:rPr>
          <w:rFonts w:ascii="Calibri" w:hAnsi="Calibri" w:cs="Calibri"/>
          <w:color w:val="0070C0"/>
          <w:sz w:val="21"/>
          <w:szCs w:val="21"/>
        </w:rPr>
      </w:pPr>
      <w:r w:rsidRPr="00804C33">
        <w:rPr>
          <w:rFonts w:ascii="Calibri" w:hAnsi="Calibri" w:cs="Calibri"/>
          <w:color w:val="0070C0"/>
          <w:sz w:val="21"/>
          <w:szCs w:val="21"/>
        </w:rPr>
        <w:t xml:space="preserve">A single tribunal is not supported. The existing processes for review of applications for professional recognition works appropriately. A single system will slow the process down. Nursing Council of New Zealand has worked hard to ensure that applications are processed in a timely manner. This is   evidenced by the high percentage of overseas trained nurses. The process cannot be rushed as it is an important risk management process with applications thoroughly reviewed i.e. false credentials and identity fraud must be closely monitored as a safety. All Regulators should be working to an agreed standard.  </w:t>
      </w:r>
    </w:p>
    <w:p w14:paraId="166F7C1D" w14:textId="77777777" w:rsidR="00AF79F4" w:rsidRPr="00804C33" w:rsidRDefault="00AF79F4" w:rsidP="00804C33">
      <w:pPr>
        <w:ind w:left="720" w:hanging="720"/>
        <w:jc w:val="both"/>
        <w:rPr>
          <w:rFonts w:ascii="Calibri" w:hAnsi="Calibri" w:cs="Calibri"/>
          <w:sz w:val="21"/>
          <w:szCs w:val="21"/>
        </w:rPr>
      </w:pPr>
      <w:r w:rsidRPr="00804C33">
        <w:rPr>
          <w:rFonts w:ascii="Calibri" w:hAnsi="Calibri" w:cs="Calibri"/>
          <w:b/>
          <w:bCs/>
          <w:sz w:val="21"/>
          <w:szCs w:val="21"/>
        </w:rPr>
        <w:tab/>
      </w:r>
      <w:r w:rsidRPr="00804C33">
        <w:rPr>
          <w:rFonts w:ascii="Calibri" w:hAnsi="Calibri" w:cs="Calibri"/>
          <w:color w:val="0070C0"/>
          <w:sz w:val="21"/>
          <w:szCs w:val="21"/>
        </w:rPr>
        <w:t xml:space="preserve">A single occupations tribunal cannot adequately review standards for registration decisions for all overseas-trained practitioners and if implemented would require a large entity to manage the complex credential verification and monitoring competence compliance of the different professions. The regulation of professions cannot be rushed or “corners-cut” to rush applications. There is an increase in identity fraud and qualification fraud. Current regulators have experience of their professions and are best placed to address serious professional issues. </w:t>
      </w:r>
    </w:p>
    <w:p w14:paraId="4DF93190" w14:textId="77777777" w:rsidR="00AF79F4" w:rsidRPr="00804C33" w:rsidRDefault="00AF79F4" w:rsidP="00804C33">
      <w:pPr>
        <w:pStyle w:val="ListParagraph"/>
        <w:numPr>
          <w:ilvl w:val="0"/>
          <w:numId w:val="3"/>
        </w:numPr>
        <w:jc w:val="both"/>
        <w:rPr>
          <w:rFonts w:ascii="Calibri" w:hAnsi="Calibri" w:cs="Calibri"/>
          <w:b/>
          <w:bCs/>
          <w:sz w:val="21"/>
          <w:szCs w:val="21"/>
        </w:rPr>
      </w:pPr>
      <w:r w:rsidRPr="00804C33">
        <w:rPr>
          <w:rFonts w:ascii="Calibri" w:hAnsi="Calibri" w:cs="Calibri"/>
          <w:b/>
          <w:bCs/>
          <w:sz w:val="21"/>
          <w:szCs w:val="21"/>
        </w:rPr>
        <w:t xml:space="preserve">Should the process for competency assessments, such as the Competence Assessment Programme [CAP] for nurses be streamlined to ensure it is proportionate to the level of competency required, allowing experienced professionals who have been out of practice for a certain period to re-enter the workforce more efficiently while still maintaining clinical safety and quality of care </w:t>
      </w:r>
    </w:p>
    <w:p w14:paraId="6BEF30A9" w14:textId="4C3060A4"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 xml:space="preserve">Nursing Council of New Zealand has made considerable changes to ensure that CAP programmes are streamlined. Individuals undertaking these programmes are completing the minimum requirements for clinical safety and quality of care. There is no need to change the requirements further. In the past two years since COVID restrictions were lifted, there has been a </w:t>
      </w:r>
      <w:r w:rsidR="00D920EA" w:rsidRPr="00804C33">
        <w:rPr>
          <w:rFonts w:ascii="Calibri" w:hAnsi="Calibri" w:cs="Calibri"/>
          <w:color w:val="0070C0"/>
          <w:sz w:val="21"/>
          <w:szCs w:val="21"/>
        </w:rPr>
        <w:t xml:space="preserve">significant </w:t>
      </w:r>
      <w:r w:rsidR="00D920EA" w:rsidRPr="00804C33">
        <w:rPr>
          <w:rFonts w:ascii="Calibri" w:hAnsi="Calibri" w:cs="Calibri"/>
          <w:color w:val="0070C0"/>
          <w:sz w:val="21"/>
          <w:szCs w:val="21"/>
        </w:rPr>
        <w:lastRenderedPageBreak/>
        <w:t>increase</w:t>
      </w:r>
      <w:r w:rsidRPr="00804C33">
        <w:rPr>
          <w:rFonts w:ascii="Calibri" w:hAnsi="Calibri" w:cs="Calibri"/>
          <w:color w:val="0070C0"/>
          <w:sz w:val="21"/>
          <w:szCs w:val="21"/>
        </w:rPr>
        <w:t xml:space="preserve"> in </w:t>
      </w:r>
      <w:r w:rsidR="00D920EA" w:rsidRPr="00804C33">
        <w:rPr>
          <w:rFonts w:ascii="Calibri" w:hAnsi="Calibri" w:cs="Calibri"/>
          <w:color w:val="0070C0"/>
          <w:sz w:val="21"/>
          <w:szCs w:val="21"/>
        </w:rPr>
        <w:t>IQN (</w:t>
      </w:r>
      <w:r w:rsidRPr="00804C33">
        <w:rPr>
          <w:rFonts w:ascii="Calibri" w:hAnsi="Calibri" w:cs="Calibri"/>
          <w:color w:val="0070C0"/>
          <w:sz w:val="21"/>
          <w:szCs w:val="21"/>
        </w:rPr>
        <w:t>refer NCNZ reports)</w:t>
      </w:r>
      <w:r w:rsidR="00D920EA">
        <w:rPr>
          <w:rFonts w:ascii="Calibri" w:hAnsi="Calibri" w:cs="Calibri"/>
          <w:color w:val="0070C0"/>
          <w:sz w:val="21"/>
          <w:szCs w:val="21"/>
        </w:rPr>
        <w:t>. T</w:t>
      </w:r>
      <w:r w:rsidRPr="00804C33">
        <w:rPr>
          <w:rFonts w:ascii="Calibri" w:hAnsi="Calibri" w:cs="Calibri"/>
          <w:color w:val="0070C0"/>
          <w:sz w:val="21"/>
          <w:szCs w:val="21"/>
        </w:rPr>
        <w:t xml:space="preserve">hey account for more registrations in NZ than domestically educated nurses </w:t>
      </w:r>
      <w:r w:rsidR="00D920EA" w:rsidRPr="00804C33">
        <w:rPr>
          <w:rFonts w:ascii="Calibri" w:hAnsi="Calibri" w:cs="Calibri"/>
          <w:color w:val="0070C0"/>
          <w:sz w:val="21"/>
          <w:szCs w:val="21"/>
        </w:rPr>
        <w:t>(i.e.</w:t>
      </w:r>
      <w:r w:rsidR="00D920EA">
        <w:rPr>
          <w:rFonts w:ascii="Calibri" w:hAnsi="Calibri" w:cs="Calibri"/>
          <w:color w:val="0070C0"/>
          <w:sz w:val="21"/>
          <w:szCs w:val="21"/>
        </w:rPr>
        <w:t xml:space="preserve"> </w:t>
      </w:r>
      <w:r w:rsidRPr="00804C33">
        <w:rPr>
          <w:rFonts w:ascii="Calibri" w:hAnsi="Calibri" w:cs="Calibri"/>
          <w:color w:val="0070C0"/>
          <w:sz w:val="21"/>
          <w:szCs w:val="21"/>
        </w:rPr>
        <w:t xml:space="preserve">almost three times as many IQN to NZQN)  </w:t>
      </w:r>
    </w:p>
    <w:p w14:paraId="522AAAF2" w14:textId="77777777" w:rsidR="00AF79F4" w:rsidRPr="00804C33" w:rsidRDefault="00AF79F4" w:rsidP="00804C33">
      <w:pPr>
        <w:pStyle w:val="ListParagraph"/>
        <w:jc w:val="both"/>
        <w:rPr>
          <w:rFonts w:ascii="Calibri" w:hAnsi="Calibri" w:cs="Calibri"/>
          <w:sz w:val="21"/>
          <w:szCs w:val="21"/>
        </w:rPr>
      </w:pPr>
    </w:p>
    <w:p w14:paraId="49ECE0F4" w14:textId="77777777" w:rsidR="00AF79F4" w:rsidRPr="00804C33" w:rsidRDefault="00AF79F4" w:rsidP="00804C33">
      <w:pPr>
        <w:pStyle w:val="ListParagraph"/>
        <w:numPr>
          <w:ilvl w:val="0"/>
          <w:numId w:val="3"/>
        </w:numPr>
        <w:jc w:val="both"/>
        <w:rPr>
          <w:rFonts w:ascii="Calibri" w:hAnsi="Calibri" w:cs="Calibri"/>
          <w:b/>
          <w:bCs/>
          <w:sz w:val="21"/>
          <w:szCs w:val="21"/>
        </w:rPr>
      </w:pPr>
      <w:r w:rsidRPr="00804C33">
        <w:rPr>
          <w:rFonts w:ascii="Calibri" w:hAnsi="Calibri" w:cs="Calibri"/>
          <w:b/>
          <w:bCs/>
          <w:sz w:val="21"/>
          <w:szCs w:val="21"/>
        </w:rPr>
        <w:t xml:space="preserve">Do you believe there should be additional pathways for the health workforce to start working in New Zealand? </w:t>
      </w:r>
    </w:p>
    <w:p w14:paraId="1F7EBEB8" w14:textId="6816B8D3" w:rsidR="00AF79F4" w:rsidRPr="00804C33" w:rsidRDefault="00AF79F4" w:rsidP="00804C33">
      <w:pPr>
        <w:ind w:left="720"/>
        <w:jc w:val="both"/>
        <w:rPr>
          <w:rFonts w:ascii="Calibri" w:hAnsi="Calibri" w:cs="Calibri"/>
          <w:color w:val="0070C0"/>
          <w:sz w:val="21"/>
          <w:szCs w:val="21"/>
        </w:rPr>
      </w:pPr>
      <w:r w:rsidRPr="00804C33">
        <w:rPr>
          <w:rFonts w:ascii="Calibri" w:hAnsi="Calibri" w:cs="Calibri"/>
          <w:color w:val="0070C0"/>
          <w:sz w:val="21"/>
          <w:szCs w:val="21"/>
        </w:rPr>
        <w:t>No. Noone should be working as a health professional without clearance from the Regulator as a minimum standard. Employers already have options in terms of supervised practice and orientation but only after initial screening of the person by the Regulator stating that the applicant is a health professional</w:t>
      </w:r>
      <w:r w:rsidR="00D920EA">
        <w:rPr>
          <w:rFonts w:ascii="Calibri" w:hAnsi="Calibri" w:cs="Calibri"/>
          <w:color w:val="0070C0"/>
          <w:sz w:val="21"/>
          <w:szCs w:val="21"/>
        </w:rPr>
        <w:t xml:space="preserve"> and appropriately trained</w:t>
      </w:r>
      <w:r w:rsidRPr="00804C33">
        <w:rPr>
          <w:rFonts w:ascii="Calibri" w:hAnsi="Calibri" w:cs="Calibri"/>
          <w:color w:val="0070C0"/>
          <w:sz w:val="21"/>
          <w:szCs w:val="21"/>
        </w:rPr>
        <w:t>. This must be agreed before the person presents to work or for orientation. There are sufficient examples of people who misrepresent their qualifications or are under-prepared for the clinical service contexts.</w:t>
      </w:r>
    </w:p>
    <w:p w14:paraId="5C6756A8" w14:textId="77777777" w:rsidR="00AF79F4" w:rsidRPr="00804C33" w:rsidRDefault="00AF79F4" w:rsidP="00804C33">
      <w:pPr>
        <w:jc w:val="both"/>
        <w:rPr>
          <w:rFonts w:ascii="Calibri" w:hAnsi="Calibri" w:cs="Calibri"/>
          <w:b/>
          <w:bCs/>
          <w:sz w:val="21"/>
          <w:szCs w:val="21"/>
        </w:rPr>
      </w:pPr>
      <w:r w:rsidRPr="00804C33">
        <w:rPr>
          <w:rFonts w:ascii="Calibri" w:hAnsi="Calibri" w:cs="Calibri"/>
          <w:b/>
          <w:bCs/>
          <w:sz w:val="21"/>
          <w:szCs w:val="21"/>
        </w:rPr>
        <w:t>Future-proofed regulation</w:t>
      </w:r>
    </w:p>
    <w:p w14:paraId="0374659E" w14:textId="77777777" w:rsidR="00AF79F4" w:rsidRPr="00804C33" w:rsidRDefault="00AF79F4" w:rsidP="00804C33">
      <w:pPr>
        <w:pStyle w:val="ListParagraph"/>
        <w:numPr>
          <w:ilvl w:val="0"/>
          <w:numId w:val="4"/>
        </w:numPr>
        <w:jc w:val="both"/>
        <w:rPr>
          <w:rFonts w:ascii="Calibri" w:hAnsi="Calibri" w:cs="Calibri"/>
          <w:b/>
          <w:bCs/>
          <w:sz w:val="21"/>
          <w:szCs w:val="21"/>
        </w:rPr>
      </w:pPr>
      <w:r w:rsidRPr="00804C33">
        <w:rPr>
          <w:rFonts w:ascii="Calibri" w:hAnsi="Calibri" w:cs="Calibri"/>
          <w:b/>
          <w:bCs/>
          <w:sz w:val="21"/>
          <w:szCs w:val="21"/>
        </w:rPr>
        <w:t>Do you think regulators should consider how their decisions impact the availability of services and the wider healthcare system, ensuring patient needs are met?</w:t>
      </w:r>
    </w:p>
    <w:p w14:paraId="236B182C"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The Regulators do not decide on the availability of service or the wider healthcare system. The Regulators ensure that people have the qualifications and expertise to provide safe care – that is all. The Regulators listen to the profession and keep informed about new developments, adapting as necessary.  They have no role in deciding availability and access – that is Government, planners and employers.</w:t>
      </w:r>
    </w:p>
    <w:p w14:paraId="5E8B052F" w14:textId="77777777" w:rsidR="00AF79F4" w:rsidRPr="00804C33" w:rsidRDefault="00AF79F4" w:rsidP="00804C33">
      <w:pPr>
        <w:ind w:left="720" w:hanging="720"/>
        <w:jc w:val="both"/>
        <w:rPr>
          <w:rFonts w:ascii="Calibri" w:hAnsi="Calibri" w:cs="Calibri"/>
          <w:color w:val="0070C0"/>
          <w:sz w:val="21"/>
          <w:szCs w:val="21"/>
        </w:rPr>
      </w:pPr>
      <w:r w:rsidRPr="00804C33">
        <w:rPr>
          <w:rFonts w:ascii="Calibri" w:hAnsi="Calibri" w:cs="Calibri"/>
          <w:color w:val="0070C0"/>
          <w:sz w:val="21"/>
          <w:szCs w:val="21"/>
        </w:rPr>
        <w:tab/>
        <w:t xml:space="preserve">Regulators consider the impact of their decisions on patient and health system safety. For example, by considering the competence (performance), health or conduct of a nurse and deciding whether the nurse should have to comply with certain conditions in order to practice. Regulators work with government and employers to build system capacity and support patient access to care. The current well-regulated nursing workforce has not been fully utilised due to systemic issues caused by inadequate resourcing of the healthcare system. </w:t>
      </w:r>
    </w:p>
    <w:p w14:paraId="1652B491" w14:textId="77777777" w:rsidR="00AF79F4" w:rsidRPr="00804C33" w:rsidRDefault="00AF79F4" w:rsidP="00804C33">
      <w:pPr>
        <w:pStyle w:val="ListParagraph"/>
        <w:jc w:val="both"/>
        <w:rPr>
          <w:rFonts w:ascii="Calibri" w:hAnsi="Calibri" w:cs="Calibri"/>
          <w:sz w:val="21"/>
          <w:szCs w:val="21"/>
        </w:rPr>
      </w:pPr>
    </w:p>
    <w:p w14:paraId="7DE5E601" w14:textId="77777777" w:rsidR="00AF79F4" w:rsidRPr="00804C33" w:rsidRDefault="00AF79F4" w:rsidP="00804C33">
      <w:pPr>
        <w:pStyle w:val="ListParagraph"/>
        <w:numPr>
          <w:ilvl w:val="0"/>
          <w:numId w:val="4"/>
        </w:numPr>
        <w:jc w:val="both"/>
        <w:rPr>
          <w:rFonts w:ascii="Calibri" w:hAnsi="Calibri" w:cs="Calibri"/>
          <w:b/>
          <w:bCs/>
          <w:sz w:val="21"/>
          <w:szCs w:val="21"/>
        </w:rPr>
      </w:pPr>
      <w:r w:rsidRPr="00804C33">
        <w:rPr>
          <w:rFonts w:ascii="Calibri" w:hAnsi="Calibri" w:cs="Calibri"/>
          <w:b/>
          <w:bCs/>
          <w:sz w:val="21"/>
          <w:szCs w:val="21"/>
        </w:rPr>
        <w:t>Do you think the Government should be able to give regulators general direction about regulation?</w:t>
      </w:r>
    </w:p>
    <w:p w14:paraId="77B5B191"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 xml:space="preserve">No.  This is government overreach. The Regulators ensure that appropriate safety standards are articulated and there is compliance with minimum standards.  Their role is safety. Government should be reassured that there is this quality assurance in place. </w:t>
      </w:r>
    </w:p>
    <w:p w14:paraId="1069F599" w14:textId="77777777" w:rsidR="00AF79F4" w:rsidRPr="00804C33" w:rsidRDefault="00AF79F4" w:rsidP="00804C33">
      <w:pPr>
        <w:pStyle w:val="ListParagraph"/>
        <w:jc w:val="both"/>
        <w:rPr>
          <w:rFonts w:ascii="Calibri" w:hAnsi="Calibri" w:cs="Calibri"/>
          <w:sz w:val="21"/>
          <w:szCs w:val="21"/>
        </w:rPr>
      </w:pPr>
    </w:p>
    <w:p w14:paraId="4BFFB40A" w14:textId="77777777" w:rsidR="00AF79F4" w:rsidRPr="00804C33" w:rsidRDefault="00AF79F4" w:rsidP="00804C33">
      <w:pPr>
        <w:pStyle w:val="ListParagraph"/>
        <w:numPr>
          <w:ilvl w:val="0"/>
          <w:numId w:val="4"/>
        </w:numPr>
        <w:jc w:val="both"/>
        <w:rPr>
          <w:rFonts w:ascii="Calibri" w:hAnsi="Calibri" w:cs="Calibri"/>
          <w:b/>
          <w:bCs/>
          <w:sz w:val="21"/>
          <w:szCs w:val="21"/>
        </w:rPr>
      </w:pPr>
      <w:r w:rsidRPr="00804C33">
        <w:rPr>
          <w:rFonts w:ascii="Calibri" w:hAnsi="Calibri" w:cs="Calibri"/>
          <w:b/>
          <w:bCs/>
          <w:sz w:val="21"/>
          <w:szCs w:val="21"/>
        </w:rPr>
        <w:t>Do you think the Government should, be able to issue directions about how workforce regulators manage their operations for example requiring regulators to establish a shared register to ensure a more efficient and patient focused healthcare system? Comments</w:t>
      </w:r>
    </w:p>
    <w:p w14:paraId="2BAACC16"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No. Government should require minimum standards of access to registers that each Regulator complies with. There is no need to disrupt a system that is working now.</w:t>
      </w:r>
    </w:p>
    <w:p w14:paraId="52642369" w14:textId="77777777" w:rsidR="00AF79F4" w:rsidRPr="00804C33" w:rsidRDefault="00AF79F4" w:rsidP="00804C33">
      <w:pPr>
        <w:ind w:left="720" w:hanging="720"/>
        <w:jc w:val="both"/>
        <w:rPr>
          <w:rFonts w:ascii="Calibri" w:hAnsi="Calibri" w:cs="Calibri"/>
          <w:sz w:val="21"/>
          <w:szCs w:val="21"/>
        </w:rPr>
      </w:pPr>
      <w:r w:rsidRPr="00804C33">
        <w:rPr>
          <w:rFonts w:ascii="Calibri" w:hAnsi="Calibri" w:cs="Calibri"/>
          <w:b/>
          <w:bCs/>
          <w:sz w:val="21"/>
          <w:szCs w:val="21"/>
        </w:rPr>
        <w:tab/>
      </w:r>
      <w:r w:rsidRPr="00804C33">
        <w:rPr>
          <w:rFonts w:ascii="Calibri" w:hAnsi="Calibri" w:cs="Calibri"/>
          <w:color w:val="0070C0"/>
          <w:sz w:val="21"/>
          <w:szCs w:val="21"/>
        </w:rPr>
        <w:t xml:space="preserve">While the government (Ministry of Health) should set broad strategic objectives, regulators must retain their independence and manage professional standards.   Regulators protect public safety over a term longer than the current 3-year government term.   </w:t>
      </w:r>
    </w:p>
    <w:p w14:paraId="66AF4E8E" w14:textId="77777777" w:rsidR="00AF79F4" w:rsidRPr="00804C33" w:rsidRDefault="00AF79F4" w:rsidP="00804C33">
      <w:pPr>
        <w:pStyle w:val="ListParagraph"/>
        <w:jc w:val="both"/>
        <w:rPr>
          <w:rFonts w:ascii="Calibri" w:hAnsi="Calibri" w:cs="Calibri"/>
          <w:sz w:val="21"/>
          <w:szCs w:val="21"/>
        </w:rPr>
      </w:pPr>
    </w:p>
    <w:p w14:paraId="6E658E80" w14:textId="77777777" w:rsidR="00AF79F4" w:rsidRPr="00804C33" w:rsidRDefault="00AF79F4" w:rsidP="00804C33">
      <w:pPr>
        <w:pStyle w:val="ListParagraph"/>
        <w:numPr>
          <w:ilvl w:val="0"/>
          <w:numId w:val="4"/>
        </w:numPr>
        <w:jc w:val="both"/>
        <w:rPr>
          <w:rFonts w:ascii="Calibri" w:hAnsi="Calibri" w:cs="Calibri"/>
          <w:b/>
          <w:bCs/>
          <w:sz w:val="21"/>
          <w:szCs w:val="21"/>
        </w:rPr>
      </w:pPr>
      <w:r w:rsidRPr="00804C33">
        <w:rPr>
          <w:rFonts w:ascii="Calibri" w:hAnsi="Calibri" w:cs="Calibri"/>
          <w:b/>
          <w:bCs/>
          <w:sz w:val="21"/>
          <w:szCs w:val="21"/>
        </w:rPr>
        <w:t>Do you think the Government should have the ability to appoint members to regulatory boards to ensure decisions are made with patients’ best interests in mind and that the healthcare workforce is responsive to patient needs?</w:t>
      </w:r>
    </w:p>
    <w:p w14:paraId="4918BA70"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 xml:space="preserve">The Government already appoints members to the Regulatory Boards. There is no evidence that decisions of the Regulators are not acting in patients’ best interests. Evidence shows that the </w:t>
      </w:r>
      <w:r w:rsidRPr="00804C33">
        <w:rPr>
          <w:rFonts w:ascii="Calibri" w:hAnsi="Calibri" w:cs="Calibri"/>
          <w:color w:val="0070C0"/>
          <w:sz w:val="21"/>
          <w:szCs w:val="21"/>
        </w:rPr>
        <w:lastRenderedPageBreak/>
        <w:t xml:space="preserve">competencies established by Regulators is totally focused on ensuring that healthcare workforce is responsive to patient needs. Health professionals exist to ensure that patient best interests are met and are responsive – that is what they do every day and have done for decades. </w:t>
      </w:r>
    </w:p>
    <w:p w14:paraId="54B530EE" w14:textId="77777777" w:rsidR="00AF79F4" w:rsidRPr="00804C33" w:rsidRDefault="00AF79F4" w:rsidP="00804C33">
      <w:pPr>
        <w:pStyle w:val="ListParagraph"/>
        <w:jc w:val="both"/>
        <w:rPr>
          <w:rFonts w:ascii="Calibri" w:hAnsi="Calibri" w:cs="Calibri"/>
          <w:color w:val="0070C0"/>
          <w:sz w:val="21"/>
          <w:szCs w:val="21"/>
        </w:rPr>
      </w:pPr>
      <w:r w:rsidRPr="00804C33">
        <w:rPr>
          <w:rFonts w:ascii="Calibri" w:hAnsi="Calibri" w:cs="Calibri"/>
          <w:color w:val="0070C0"/>
          <w:sz w:val="21"/>
          <w:szCs w:val="21"/>
        </w:rPr>
        <w:t>The Nursing Council consists of a mixture of members appointed by the Minister of Health, and members elected by nurses.</w:t>
      </w:r>
    </w:p>
    <w:p w14:paraId="4622F6EC" w14:textId="77777777" w:rsidR="00AF79F4" w:rsidRPr="00804C33" w:rsidRDefault="00AF79F4" w:rsidP="00804C33">
      <w:pPr>
        <w:pStyle w:val="ListParagraph"/>
        <w:jc w:val="both"/>
        <w:rPr>
          <w:rFonts w:ascii="Calibri" w:hAnsi="Calibri" w:cs="Calibri"/>
          <w:sz w:val="21"/>
          <w:szCs w:val="21"/>
        </w:rPr>
      </w:pPr>
    </w:p>
    <w:p w14:paraId="60868736" w14:textId="42C9FFF1" w:rsidR="00C36A68" w:rsidRPr="00593CEF" w:rsidRDefault="00593CEF" w:rsidP="00804C33">
      <w:pPr>
        <w:jc w:val="both"/>
        <w:rPr>
          <w:rFonts w:ascii="Calibri" w:hAnsi="Calibri" w:cs="Calibri"/>
          <w:sz w:val="21"/>
          <w:szCs w:val="21"/>
        </w:rPr>
      </w:pPr>
      <w:r w:rsidRPr="00593CEF">
        <w:rPr>
          <w:rFonts w:ascii="Calibri" w:hAnsi="Calibri" w:cs="Calibri"/>
          <w:color w:val="171F1A"/>
          <w:sz w:val="27"/>
          <w:szCs w:val="27"/>
        </w:rPr>
        <w:t>Note: The Ministry is now inviting New Zealanders to share their views on health workforce regulation through its </w:t>
      </w:r>
      <w:hyperlink r:id="rId7" w:history="1">
        <w:r w:rsidRPr="00593CEF">
          <w:rPr>
            <w:rStyle w:val="Hyperlink"/>
            <w:rFonts w:ascii="Calibri" w:hAnsi="Calibri" w:cs="Calibri"/>
            <w:color w:val="23305D"/>
            <w:sz w:val="27"/>
            <w:szCs w:val="27"/>
            <w:bdr w:val="single" w:sz="2" w:space="0" w:color="E5E7EB" w:frame="1"/>
          </w:rPr>
          <w:t>online consultation portal</w:t>
        </w:r>
      </w:hyperlink>
      <w:r w:rsidRPr="00593CEF">
        <w:rPr>
          <w:rFonts w:ascii="Calibri" w:hAnsi="Calibri" w:cs="Calibri"/>
          <w:color w:val="171F1A"/>
          <w:sz w:val="27"/>
          <w:szCs w:val="27"/>
        </w:rPr>
        <w:t>.   The consultation closes on Wednesday 30 April. </w:t>
      </w:r>
    </w:p>
    <w:sectPr w:rsidR="00C36A68" w:rsidRPr="00593CEF">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4418B" w14:textId="77777777" w:rsidR="00AB7100" w:rsidRDefault="00AB7100" w:rsidP="00560359">
      <w:pPr>
        <w:spacing w:after="0" w:line="240" w:lineRule="auto"/>
      </w:pPr>
      <w:r>
        <w:separator/>
      </w:r>
    </w:p>
  </w:endnote>
  <w:endnote w:type="continuationSeparator" w:id="0">
    <w:p w14:paraId="707B1A31" w14:textId="77777777" w:rsidR="00AB7100" w:rsidRDefault="00AB7100" w:rsidP="005603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2249432"/>
      <w:docPartObj>
        <w:docPartGallery w:val="Page Numbers (Bottom of Page)"/>
        <w:docPartUnique/>
      </w:docPartObj>
    </w:sdtPr>
    <w:sdtEndPr>
      <w:rPr>
        <w:noProof/>
      </w:rPr>
    </w:sdtEndPr>
    <w:sdtContent>
      <w:p w14:paraId="65CBDFAD" w14:textId="5587A1E6" w:rsidR="00560359" w:rsidRDefault="005603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CBC8013" w14:textId="77777777" w:rsidR="00560359" w:rsidRDefault="005603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B7D00" w14:textId="77777777" w:rsidR="00AB7100" w:rsidRDefault="00AB7100" w:rsidP="00560359">
      <w:pPr>
        <w:spacing w:after="0" w:line="240" w:lineRule="auto"/>
      </w:pPr>
      <w:r>
        <w:separator/>
      </w:r>
    </w:p>
  </w:footnote>
  <w:footnote w:type="continuationSeparator" w:id="0">
    <w:p w14:paraId="182C03C8" w14:textId="77777777" w:rsidR="00AB7100" w:rsidRDefault="00AB7100" w:rsidP="005603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F4859" w14:textId="3BF3EB2A" w:rsidR="00560359" w:rsidRPr="00D920EA" w:rsidRDefault="00D920EA" w:rsidP="00D920EA">
    <w:pPr>
      <w:pStyle w:val="Header"/>
      <w:jc w:val="right"/>
      <w:rPr>
        <w:rFonts w:ascii="Calibri" w:hAnsi="Calibri" w:cs="Calibri"/>
        <w:b/>
        <w:bCs/>
        <w:sz w:val="20"/>
        <w:szCs w:val="20"/>
      </w:rPr>
    </w:pPr>
    <w:r w:rsidRPr="00D920EA">
      <w:rPr>
        <w:rFonts w:ascii="Calibri" w:hAnsi="Calibri" w:cs="Calibri"/>
        <w:b/>
        <w:bCs/>
        <w:sz w:val="20"/>
        <w:szCs w:val="20"/>
      </w:rPr>
      <w:t xml:space="preserve">Responses </w:t>
    </w:r>
    <w:r>
      <w:rPr>
        <w:rFonts w:ascii="Calibri" w:hAnsi="Calibri" w:cs="Calibri"/>
        <w:b/>
        <w:bCs/>
        <w:sz w:val="20"/>
        <w:szCs w:val="20"/>
      </w:rPr>
      <w:t>offered</w:t>
    </w:r>
    <w:r w:rsidRPr="00D920EA">
      <w:rPr>
        <w:rFonts w:ascii="Calibri" w:hAnsi="Calibri" w:cs="Calibri"/>
        <w:b/>
        <w:bCs/>
        <w:sz w:val="20"/>
        <w:szCs w:val="20"/>
      </w:rPr>
      <w:t xml:space="preserve"> to support people making individual submissions</w:t>
    </w:r>
    <w:r w:rsidR="00593CEF">
      <w:rPr>
        <w:rFonts w:ascii="Calibri" w:hAnsi="Calibri" w:cs="Calibri"/>
        <w:b/>
        <w:bCs/>
        <w:sz w:val="20"/>
        <w:szCs w:val="20"/>
      </w:rPr>
      <w:t xml:space="preserve"> before </w:t>
    </w:r>
    <w:r w:rsidR="00593CEF" w:rsidRPr="00593CEF">
      <w:rPr>
        <w:rFonts w:ascii="Calibri" w:hAnsi="Calibri" w:cs="Calibri"/>
        <w:b/>
        <w:bCs/>
        <w:sz w:val="20"/>
        <w:szCs w:val="20"/>
      </w:rPr>
      <w:t>30 April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362C2F"/>
    <w:multiLevelType w:val="hybridMultilevel"/>
    <w:tmpl w:val="2F7272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6D24B86"/>
    <w:multiLevelType w:val="hybridMultilevel"/>
    <w:tmpl w:val="2F7651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EC8452E"/>
    <w:multiLevelType w:val="multilevel"/>
    <w:tmpl w:val="94F4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AC0260"/>
    <w:multiLevelType w:val="hybridMultilevel"/>
    <w:tmpl w:val="4288E1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3429876">
    <w:abstractNumId w:val="2"/>
  </w:num>
  <w:num w:numId="2" w16cid:durableId="902064032">
    <w:abstractNumId w:val="3"/>
  </w:num>
  <w:num w:numId="3" w16cid:durableId="2009402292">
    <w:abstractNumId w:val="1"/>
  </w:num>
  <w:num w:numId="4" w16cid:durableId="1911425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A68"/>
    <w:rsid w:val="000130BC"/>
    <w:rsid w:val="000A1F85"/>
    <w:rsid w:val="00174864"/>
    <w:rsid w:val="0019776D"/>
    <w:rsid w:val="00273A0B"/>
    <w:rsid w:val="002B1CA8"/>
    <w:rsid w:val="00423058"/>
    <w:rsid w:val="00451052"/>
    <w:rsid w:val="004F4BBA"/>
    <w:rsid w:val="00560359"/>
    <w:rsid w:val="00593116"/>
    <w:rsid w:val="00593CEF"/>
    <w:rsid w:val="00645BB4"/>
    <w:rsid w:val="00700B90"/>
    <w:rsid w:val="00804C33"/>
    <w:rsid w:val="00AB7100"/>
    <w:rsid w:val="00AF79F4"/>
    <w:rsid w:val="00C00EEC"/>
    <w:rsid w:val="00C36A68"/>
    <w:rsid w:val="00C6746E"/>
    <w:rsid w:val="00D16AB2"/>
    <w:rsid w:val="00D920EA"/>
    <w:rsid w:val="00DC37B5"/>
    <w:rsid w:val="00E1640F"/>
    <w:rsid w:val="00FF3AF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7E5030F6"/>
  <w15:chartTrackingRefBased/>
  <w15:docId w15:val="{B59E7434-0E81-497A-AFE2-C6C485CAD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6A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6A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6A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6A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6A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6A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6A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6A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6A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6A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6A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6A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6A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6A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6A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6A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6A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6A68"/>
    <w:rPr>
      <w:rFonts w:eastAsiaTheme="majorEastAsia" w:cstheme="majorBidi"/>
      <w:color w:val="272727" w:themeColor="text1" w:themeTint="D8"/>
    </w:rPr>
  </w:style>
  <w:style w:type="paragraph" w:styleId="Title">
    <w:name w:val="Title"/>
    <w:basedOn w:val="Normal"/>
    <w:next w:val="Normal"/>
    <w:link w:val="TitleChar"/>
    <w:uiPriority w:val="10"/>
    <w:qFormat/>
    <w:rsid w:val="00C36A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6A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6A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6A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6A68"/>
    <w:pPr>
      <w:spacing w:before="160"/>
      <w:jc w:val="center"/>
    </w:pPr>
    <w:rPr>
      <w:i/>
      <w:iCs/>
      <w:color w:val="404040" w:themeColor="text1" w:themeTint="BF"/>
    </w:rPr>
  </w:style>
  <w:style w:type="character" w:customStyle="1" w:styleId="QuoteChar">
    <w:name w:val="Quote Char"/>
    <w:basedOn w:val="DefaultParagraphFont"/>
    <w:link w:val="Quote"/>
    <w:uiPriority w:val="29"/>
    <w:rsid w:val="00C36A68"/>
    <w:rPr>
      <w:i/>
      <w:iCs/>
      <w:color w:val="404040" w:themeColor="text1" w:themeTint="BF"/>
    </w:rPr>
  </w:style>
  <w:style w:type="paragraph" w:styleId="ListParagraph">
    <w:name w:val="List Paragraph"/>
    <w:basedOn w:val="Normal"/>
    <w:uiPriority w:val="34"/>
    <w:qFormat/>
    <w:rsid w:val="00C36A68"/>
    <w:pPr>
      <w:ind w:left="720"/>
      <w:contextualSpacing/>
    </w:pPr>
  </w:style>
  <w:style w:type="character" w:styleId="IntenseEmphasis">
    <w:name w:val="Intense Emphasis"/>
    <w:basedOn w:val="DefaultParagraphFont"/>
    <w:uiPriority w:val="21"/>
    <w:qFormat/>
    <w:rsid w:val="00C36A68"/>
    <w:rPr>
      <w:i/>
      <w:iCs/>
      <w:color w:val="0F4761" w:themeColor="accent1" w:themeShade="BF"/>
    </w:rPr>
  </w:style>
  <w:style w:type="paragraph" w:styleId="IntenseQuote">
    <w:name w:val="Intense Quote"/>
    <w:basedOn w:val="Normal"/>
    <w:next w:val="Normal"/>
    <w:link w:val="IntenseQuoteChar"/>
    <w:uiPriority w:val="30"/>
    <w:qFormat/>
    <w:rsid w:val="00C36A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6A68"/>
    <w:rPr>
      <w:i/>
      <w:iCs/>
      <w:color w:val="0F4761" w:themeColor="accent1" w:themeShade="BF"/>
    </w:rPr>
  </w:style>
  <w:style w:type="character" w:styleId="IntenseReference">
    <w:name w:val="Intense Reference"/>
    <w:basedOn w:val="DefaultParagraphFont"/>
    <w:uiPriority w:val="32"/>
    <w:qFormat/>
    <w:rsid w:val="00C36A68"/>
    <w:rPr>
      <w:b/>
      <w:bCs/>
      <w:smallCaps/>
      <w:color w:val="0F4761" w:themeColor="accent1" w:themeShade="BF"/>
      <w:spacing w:val="5"/>
    </w:rPr>
  </w:style>
  <w:style w:type="character" w:styleId="SubtleReference">
    <w:name w:val="Subtle Reference"/>
    <w:basedOn w:val="DefaultParagraphFont"/>
    <w:uiPriority w:val="31"/>
    <w:qFormat/>
    <w:rsid w:val="00C36A68"/>
    <w:rPr>
      <w:smallCaps/>
      <w:color w:val="5A5A5A" w:themeColor="text1" w:themeTint="A5"/>
    </w:rPr>
  </w:style>
  <w:style w:type="paragraph" w:styleId="NormalWeb">
    <w:name w:val="Normal (Web)"/>
    <w:basedOn w:val="Normal"/>
    <w:uiPriority w:val="99"/>
    <w:semiHidden/>
    <w:unhideWhenUsed/>
    <w:rsid w:val="00C36A68"/>
    <w:rPr>
      <w:rFonts w:ascii="Times New Roman" w:hAnsi="Times New Roman" w:cs="Times New Roman"/>
      <w:sz w:val="24"/>
      <w:szCs w:val="24"/>
    </w:rPr>
  </w:style>
  <w:style w:type="paragraph" w:styleId="Header">
    <w:name w:val="header"/>
    <w:basedOn w:val="Normal"/>
    <w:link w:val="HeaderChar"/>
    <w:uiPriority w:val="99"/>
    <w:unhideWhenUsed/>
    <w:rsid w:val="005603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0359"/>
  </w:style>
  <w:style w:type="paragraph" w:styleId="Footer">
    <w:name w:val="footer"/>
    <w:basedOn w:val="Normal"/>
    <w:link w:val="FooterChar"/>
    <w:uiPriority w:val="99"/>
    <w:unhideWhenUsed/>
    <w:rsid w:val="005603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0359"/>
  </w:style>
  <w:style w:type="character" w:styleId="Hyperlink">
    <w:name w:val="Hyperlink"/>
    <w:basedOn w:val="DefaultParagraphFont"/>
    <w:uiPriority w:val="99"/>
    <w:semiHidden/>
    <w:unhideWhenUsed/>
    <w:rsid w:val="00593CEF"/>
    <w:rPr>
      <w:color w:val="0000FF"/>
      <w:u w:val="single"/>
    </w:rPr>
  </w:style>
  <w:style w:type="character" w:customStyle="1" w:styleId="extlink">
    <w:name w:val="extlink"/>
    <w:basedOn w:val="DefaultParagraphFont"/>
    <w:rsid w:val="00593CEF"/>
  </w:style>
  <w:style w:type="character" w:styleId="FollowedHyperlink">
    <w:name w:val="FollowedHyperlink"/>
    <w:basedOn w:val="DefaultParagraphFont"/>
    <w:uiPriority w:val="99"/>
    <w:semiHidden/>
    <w:unhideWhenUsed/>
    <w:rsid w:val="00593CE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1017">
      <w:bodyDiv w:val="1"/>
      <w:marLeft w:val="0"/>
      <w:marRight w:val="0"/>
      <w:marTop w:val="0"/>
      <w:marBottom w:val="0"/>
      <w:divBdr>
        <w:top w:val="none" w:sz="0" w:space="0" w:color="auto"/>
        <w:left w:val="none" w:sz="0" w:space="0" w:color="auto"/>
        <w:bottom w:val="none" w:sz="0" w:space="0" w:color="auto"/>
        <w:right w:val="none" w:sz="0" w:space="0" w:color="auto"/>
      </w:divBdr>
    </w:div>
    <w:div w:id="23406258">
      <w:bodyDiv w:val="1"/>
      <w:marLeft w:val="0"/>
      <w:marRight w:val="0"/>
      <w:marTop w:val="0"/>
      <w:marBottom w:val="0"/>
      <w:divBdr>
        <w:top w:val="none" w:sz="0" w:space="0" w:color="auto"/>
        <w:left w:val="none" w:sz="0" w:space="0" w:color="auto"/>
        <w:bottom w:val="none" w:sz="0" w:space="0" w:color="auto"/>
        <w:right w:val="none" w:sz="0" w:space="0" w:color="auto"/>
      </w:divBdr>
    </w:div>
    <w:div w:id="31273523">
      <w:bodyDiv w:val="1"/>
      <w:marLeft w:val="0"/>
      <w:marRight w:val="0"/>
      <w:marTop w:val="0"/>
      <w:marBottom w:val="0"/>
      <w:divBdr>
        <w:top w:val="none" w:sz="0" w:space="0" w:color="auto"/>
        <w:left w:val="none" w:sz="0" w:space="0" w:color="auto"/>
        <w:bottom w:val="none" w:sz="0" w:space="0" w:color="auto"/>
        <w:right w:val="none" w:sz="0" w:space="0" w:color="auto"/>
      </w:divBdr>
    </w:div>
    <w:div w:id="31463474">
      <w:bodyDiv w:val="1"/>
      <w:marLeft w:val="0"/>
      <w:marRight w:val="0"/>
      <w:marTop w:val="0"/>
      <w:marBottom w:val="0"/>
      <w:divBdr>
        <w:top w:val="none" w:sz="0" w:space="0" w:color="auto"/>
        <w:left w:val="none" w:sz="0" w:space="0" w:color="auto"/>
        <w:bottom w:val="none" w:sz="0" w:space="0" w:color="auto"/>
        <w:right w:val="none" w:sz="0" w:space="0" w:color="auto"/>
      </w:divBdr>
    </w:div>
    <w:div w:id="67777612">
      <w:bodyDiv w:val="1"/>
      <w:marLeft w:val="0"/>
      <w:marRight w:val="0"/>
      <w:marTop w:val="0"/>
      <w:marBottom w:val="0"/>
      <w:divBdr>
        <w:top w:val="none" w:sz="0" w:space="0" w:color="auto"/>
        <w:left w:val="none" w:sz="0" w:space="0" w:color="auto"/>
        <w:bottom w:val="none" w:sz="0" w:space="0" w:color="auto"/>
        <w:right w:val="none" w:sz="0" w:space="0" w:color="auto"/>
      </w:divBdr>
    </w:div>
    <w:div w:id="80569342">
      <w:bodyDiv w:val="1"/>
      <w:marLeft w:val="0"/>
      <w:marRight w:val="0"/>
      <w:marTop w:val="0"/>
      <w:marBottom w:val="0"/>
      <w:divBdr>
        <w:top w:val="none" w:sz="0" w:space="0" w:color="auto"/>
        <w:left w:val="none" w:sz="0" w:space="0" w:color="auto"/>
        <w:bottom w:val="none" w:sz="0" w:space="0" w:color="auto"/>
        <w:right w:val="none" w:sz="0" w:space="0" w:color="auto"/>
      </w:divBdr>
    </w:div>
    <w:div w:id="138620873">
      <w:bodyDiv w:val="1"/>
      <w:marLeft w:val="0"/>
      <w:marRight w:val="0"/>
      <w:marTop w:val="0"/>
      <w:marBottom w:val="0"/>
      <w:divBdr>
        <w:top w:val="none" w:sz="0" w:space="0" w:color="auto"/>
        <w:left w:val="none" w:sz="0" w:space="0" w:color="auto"/>
        <w:bottom w:val="none" w:sz="0" w:space="0" w:color="auto"/>
        <w:right w:val="none" w:sz="0" w:space="0" w:color="auto"/>
      </w:divBdr>
    </w:div>
    <w:div w:id="143937289">
      <w:bodyDiv w:val="1"/>
      <w:marLeft w:val="0"/>
      <w:marRight w:val="0"/>
      <w:marTop w:val="0"/>
      <w:marBottom w:val="0"/>
      <w:divBdr>
        <w:top w:val="none" w:sz="0" w:space="0" w:color="auto"/>
        <w:left w:val="none" w:sz="0" w:space="0" w:color="auto"/>
        <w:bottom w:val="none" w:sz="0" w:space="0" w:color="auto"/>
        <w:right w:val="none" w:sz="0" w:space="0" w:color="auto"/>
      </w:divBdr>
    </w:div>
    <w:div w:id="158271731">
      <w:bodyDiv w:val="1"/>
      <w:marLeft w:val="0"/>
      <w:marRight w:val="0"/>
      <w:marTop w:val="0"/>
      <w:marBottom w:val="0"/>
      <w:divBdr>
        <w:top w:val="none" w:sz="0" w:space="0" w:color="auto"/>
        <w:left w:val="none" w:sz="0" w:space="0" w:color="auto"/>
        <w:bottom w:val="none" w:sz="0" w:space="0" w:color="auto"/>
        <w:right w:val="none" w:sz="0" w:space="0" w:color="auto"/>
      </w:divBdr>
    </w:div>
    <w:div w:id="231432263">
      <w:bodyDiv w:val="1"/>
      <w:marLeft w:val="0"/>
      <w:marRight w:val="0"/>
      <w:marTop w:val="0"/>
      <w:marBottom w:val="0"/>
      <w:divBdr>
        <w:top w:val="none" w:sz="0" w:space="0" w:color="auto"/>
        <w:left w:val="none" w:sz="0" w:space="0" w:color="auto"/>
        <w:bottom w:val="none" w:sz="0" w:space="0" w:color="auto"/>
        <w:right w:val="none" w:sz="0" w:space="0" w:color="auto"/>
      </w:divBdr>
    </w:div>
    <w:div w:id="260575192">
      <w:bodyDiv w:val="1"/>
      <w:marLeft w:val="0"/>
      <w:marRight w:val="0"/>
      <w:marTop w:val="0"/>
      <w:marBottom w:val="0"/>
      <w:divBdr>
        <w:top w:val="none" w:sz="0" w:space="0" w:color="auto"/>
        <w:left w:val="none" w:sz="0" w:space="0" w:color="auto"/>
        <w:bottom w:val="none" w:sz="0" w:space="0" w:color="auto"/>
        <w:right w:val="none" w:sz="0" w:space="0" w:color="auto"/>
      </w:divBdr>
    </w:div>
    <w:div w:id="264273166">
      <w:bodyDiv w:val="1"/>
      <w:marLeft w:val="0"/>
      <w:marRight w:val="0"/>
      <w:marTop w:val="0"/>
      <w:marBottom w:val="0"/>
      <w:divBdr>
        <w:top w:val="none" w:sz="0" w:space="0" w:color="auto"/>
        <w:left w:val="none" w:sz="0" w:space="0" w:color="auto"/>
        <w:bottom w:val="none" w:sz="0" w:space="0" w:color="auto"/>
        <w:right w:val="none" w:sz="0" w:space="0" w:color="auto"/>
      </w:divBdr>
    </w:div>
    <w:div w:id="303239344">
      <w:bodyDiv w:val="1"/>
      <w:marLeft w:val="0"/>
      <w:marRight w:val="0"/>
      <w:marTop w:val="0"/>
      <w:marBottom w:val="0"/>
      <w:divBdr>
        <w:top w:val="none" w:sz="0" w:space="0" w:color="auto"/>
        <w:left w:val="none" w:sz="0" w:space="0" w:color="auto"/>
        <w:bottom w:val="none" w:sz="0" w:space="0" w:color="auto"/>
        <w:right w:val="none" w:sz="0" w:space="0" w:color="auto"/>
      </w:divBdr>
    </w:div>
    <w:div w:id="331373104">
      <w:bodyDiv w:val="1"/>
      <w:marLeft w:val="0"/>
      <w:marRight w:val="0"/>
      <w:marTop w:val="0"/>
      <w:marBottom w:val="0"/>
      <w:divBdr>
        <w:top w:val="none" w:sz="0" w:space="0" w:color="auto"/>
        <w:left w:val="none" w:sz="0" w:space="0" w:color="auto"/>
        <w:bottom w:val="none" w:sz="0" w:space="0" w:color="auto"/>
        <w:right w:val="none" w:sz="0" w:space="0" w:color="auto"/>
      </w:divBdr>
    </w:div>
    <w:div w:id="351346111">
      <w:bodyDiv w:val="1"/>
      <w:marLeft w:val="0"/>
      <w:marRight w:val="0"/>
      <w:marTop w:val="0"/>
      <w:marBottom w:val="0"/>
      <w:divBdr>
        <w:top w:val="none" w:sz="0" w:space="0" w:color="auto"/>
        <w:left w:val="none" w:sz="0" w:space="0" w:color="auto"/>
        <w:bottom w:val="none" w:sz="0" w:space="0" w:color="auto"/>
        <w:right w:val="none" w:sz="0" w:space="0" w:color="auto"/>
      </w:divBdr>
    </w:div>
    <w:div w:id="367146420">
      <w:bodyDiv w:val="1"/>
      <w:marLeft w:val="0"/>
      <w:marRight w:val="0"/>
      <w:marTop w:val="0"/>
      <w:marBottom w:val="0"/>
      <w:divBdr>
        <w:top w:val="none" w:sz="0" w:space="0" w:color="auto"/>
        <w:left w:val="none" w:sz="0" w:space="0" w:color="auto"/>
        <w:bottom w:val="none" w:sz="0" w:space="0" w:color="auto"/>
        <w:right w:val="none" w:sz="0" w:space="0" w:color="auto"/>
      </w:divBdr>
    </w:div>
    <w:div w:id="393627857">
      <w:bodyDiv w:val="1"/>
      <w:marLeft w:val="0"/>
      <w:marRight w:val="0"/>
      <w:marTop w:val="0"/>
      <w:marBottom w:val="0"/>
      <w:divBdr>
        <w:top w:val="none" w:sz="0" w:space="0" w:color="auto"/>
        <w:left w:val="none" w:sz="0" w:space="0" w:color="auto"/>
        <w:bottom w:val="none" w:sz="0" w:space="0" w:color="auto"/>
        <w:right w:val="none" w:sz="0" w:space="0" w:color="auto"/>
      </w:divBdr>
    </w:div>
    <w:div w:id="398603604">
      <w:bodyDiv w:val="1"/>
      <w:marLeft w:val="0"/>
      <w:marRight w:val="0"/>
      <w:marTop w:val="0"/>
      <w:marBottom w:val="0"/>
      <w:divBdr>
        <w:top w:val="none" w:sz="0" w:space="0" w:color="auto"/>
        <w:left w:val="none" w:sz="0" w:space="0" w:color="auto"/>
        <w:bottom w:val="none" w:sz="0" w:space="0" w:color="auto"/>
        <w:right w:val="none" w:sz="0" w:space="0" w:color="auto"/>
      </w:divBdr>
    </w:div>
    <w:div w:id="409622279">
      <w:bodyDiv w:val="1"/>
      <w:marLeft w:val="0"/>
      <w:marRight w:val="0"/>
      <w:marTop w:val="0"/>
      <w:marBottom w:val="0"/>
      <w:divBdr>
        <w:top w:val="none" w:sz="0" w:space="0" w:color="auto"/>
        <w:left w:val="none" w:sz="0" w:space="0" w:color="auto"/>
        <w:bottom w:val="none" w:sz="0" w:space="0" w:color="auto"/>
        <w:right w:val="none" w:sz="0" w:space="0" w:color="auto"/>
      </w:divBdr>
    </w:div>
    <w:div w:id="420375102">
      <w:bodyDiv w:val="1"/>
      <w:marLeft w:val="0"/>
      <w:marRight w:val="0"/>
      <w:marTop w:val="0"/>
      <w:marBottom w:val="0"/>
      <w:divBdr>
        <w:top w:val="none" w:sz="0" w:space="0" w:color="auto"/>
        <w:left w:val="none" w:sz="0" w:space="0" w:color="auto"/>
        <w:bottom w:val="none" w:sz="0" w:space="0" w:color="auto"/>
        <w:right w:val="none" w:sz="0" w:space="0" w:color="auto"/>
      </w:divBdr>
    </w:div>
    <w:div w:id="435636109">
      <w:bodyDiv w:val="1"/>
      <w:marLeft w:val="0"/>
      <w:marRight w:val="0"/>
      <w:marTop w:val="0"/>
      <w:marBottom w:val="0"/>
      <w:divBdr>
        <w:top w:val="none" w:sz="0" w:space="0" w:color="auto"/>
        <w:left w:val="none" w:sz="0" w:space="0" w:color="auto"/>
        <w:bottom w:val="none" w:sz="0" w:space="0" w:color="auto"/>
        <w:right w:val="none" w:sz="0" w:space="0" w:color="auto"/>
      </w:divBdr>
    </w:div>
    <w:div w:id="441343908">
      <w:bodyDiv w:val="1"/>
      <w:marLeft w:val="0"/>
      <w:marRight w:val="0"/>
      <w:marTop w:val="0"/>
      <w:marBottom w:val="0"/>
      <w:divBdr>
        <w:top w:val="none" w:sz="0" w:space="0" w:color="auto"/>
        <w:left w:val="none" w:sz="0" w:space="0" w:color="auto"/>
        <w:bottom w:val="none" w:sz="0" w:space="0" w:color="auto"/>
        <w:right w:val="none" w:sz="0" w:space="0" w:color="auto"/>
      </w:divBdr>
    </w:div>
    <w:div w:id="445008058">
      <w:bodyDiv w:val="1"/>
      <w:marLeft w:val="0"/>
      <w:marRight w:val="0"/>
      <w:marTop w:val="0"/>
      <w:marBottom w:val="0"/>
      <w:divBdr>
        <w:top w:val="none" w:sz="0" w:space="0" w:color="auto"/>
        <w:left w:val="none" w:sz="0" w:space="0" w:color="auto"/>
        <w:bottom w:val="none" w:sz="0" w:space="0" w:color="auto"/>
        <w:right w:val="none" w:sz="0" w:space="0" w:color="auto"/>
      </w:divBdr>
    </w:div>
    <w:div w:id="452292492">
      <w:bodyDiv w:val="1"/>
      <w:marLeft w:val="0"/>
      <w:marRight w:val="0"/>
      <w:marTop w:val="0"/>
      <w:marBottom w:val="0"/>
      <w:divBdr>
        <w:top w:val="none" w:sz="0" w:space="0" w:color="auto"/>
        <w:left w:val="none" w:sz="0" w:space="0" w:color="auto"/>
        <w:bottom w:val="none" w:sz="0" w:space="0" w:color="auto"/>
        <w:right w:val="none" w:sz="0" w:space="0" w:color="auto"/>
      </w:divBdr>
    </w:div>
    <w:div w:id="460417760">
      <w:bodyDiv w:val="1"/>
      <w:marLeft w:val="0"/>
      <w:marRight w:val="0"/>
      <w:marTop w:val="0"/>
      <w:marBottom w:val="0"/>
      <w:divBdr>
        <w:top w:val="none" w:sz="0" w:space="0" w:color="auto"/>
        <w:left w:val="none" w:sz="0" w:space="0" w:color="auto"/>
        <w:bottom w:val="none" w:sz="0" w:space="0" w:color="auto"/>
        <w:right w:val="none" w:sz="0" w:space="0" w:color="auto"/>
      </w:divBdr>
    </w:div>
    <w:div w:id="463162680">
      <w:bodyDiv w:val="1"/>
      <w:marLeft w:val="0"/>
      <w:marRight w:val="0"/>
      <w:marTop w:val="0"/>
      <w:marBottom w:val="0"/>
      <w:divBdr>
        <w:top w:val="none" w:sz="0" w:space="0" w:color="auto"/>
        <w:left w:val="none" w:sz="0" w:space="0" w:color="auto"/>
        <w:bottom w:val="none" w:sz="0" w:space="0" w:color="auto"/>
        <w:right w:val="none" w:sz="0" w:space="0" w:color="auto"/>
      </w:divBdr>
    </w:div>
    <w:div w:id="491142719">
      <w:bodyDiv w:val="1"/>
      <w:marLeft w:val="0"/>
      <w:marRight w:val="0"/>
      <w:marTop w:val="0"/>
      <w:marBottom w:val="0"/>
      <w:divBdr>
        <w:top w:val="none" w:sz="0" w:space="0" w:color="auto"/>
        <w:left w:val="none" w:sz="0" w:space="0" w:color="auto"/>
        <w:bottom w:val="none" w:sz="0" w:space="0" w:color="auto"/>
        <w:right w:val="none" w:sz="0" w:space="0" w:color="auto"/>
      </w:divBdr>
    </w:div>
    <w:div w:id="509149933">
      <w:bodyDiv w:val="1"/>
      <w:marLeft w:val="0"/>
      <w:marRight w:val="0"/>
      <w:marTop w:val="0"/>
      <w:marBottom w:val="0"/>
      <w:divBdr>
        <w:top w:val="none" w:sz="0" w:space="0" w:color="auto"/>
        <w:left w:val="none" w:sz="0" w:space="0" w:color="auto"/>
        <w:bottom w:val="none" w:sz="0" w:space="0" w:color="auto"/>
        <w:right w:val="none" w:sz="0" w:space="0" w:color="auto"/>
      </w:divBdr>
    </w:div>
    <w:div w:id="556547059">
      <w:bodyDiv w:val="1"/>
      <w:marLeft w:val="0"/>
      <w:marRight w:val="0"/>
      <w:marTop w:val="0"/>
      <w:marBottom w:val="0"/>
      <w:divBdr>
        <w:top w:val="none" w:sz="0" w:space="0" w:color="auto"/>
        <w:left w:val="none" w:sz="0" w:space="0" w:color="auto"/>
        <w:bottom w:val="none" w:sz="0" w:space="0" w:color="auto"/>
        <w:right w:val="none" w:sz="0" w:space="0" w:color="auto"/>
      </w:divBdr>
    </w:div>
    <w:div w:id="617100893">
      <w:bodyDiv w:val="1"/>
      <w:marLeft w:val="0"/>
      <w:marRight w:val="0"/>
      <w:marTop w:val="0"/>
      <w:marBottom w:val="0"/>
      <w:divBdr>
        <w:top w:val="none" w:sz="0" w:space="0" w:color="auto"/>
        <w:left w:val="none" w:sz="0" w:space="0" w:color="auto"/>
        <w:bottom w:val="none" w:sz="0" w:space="0" w:color="auto"/>
        <w:right w:val="none" w:sz="0" w:space="0" w:color="auto"/>
      </w:divBdr>
    </w:div>
    <w:div w:id="624888359">
      <w:bodyDiv w:val="1"/>
      <w:marLeft w:val="0"/>
      <w:marRight w:val="0"/>
      <w:marTop w:val="0"/>
      <w:marBottom w:val="0"/>
      <w:divBdr>
        <w:top w:val="none" w:sz="0" w:space="0" w:color="auto"/>
        <w:left w:val="none" w:sz="0" w:space="0" w:color="auto"/>
        <w:bottom w:val="none" w:sz="0" w:space="0" w:color="auto"/>
        <w:right w:val="none" w:sz="0" w:space="0" w:color="auto"/>
      </w:divBdr>
    </w:div>
    <w:div w:id="677586776">
      <w:bodyDiv w:val="1"/>
      <w:marLeft w:val="0"/>
      <w:marRight w:val="0"/>
      <w:marTop w:val="0"/>
      <w:marBottom w:val="0"/>
      <w:divBdr>
        <w:top w:val="none" w:sz="0" w:space="0" w:color="auto"/>
        <w:left w:val="none" w:sz="0" w:space="0" w:color="auto"/>
        <w:bottom w:val="none" w:sz="0" w:space="0" w:color="auto"/>
        <w:right w:val="none" w:sz="0" w:space="0" w:color="auto"/>
      </w:divBdr>
    </w:div>
    <w:div w:id="714698598">
      <w:bodyDiv w:val="1"/>
      <w:marLeft w:val="0"/>
      <w:marRight w:val="0"/>
      <w:marTop w:val="0"/>
      <w:marBottom w:val="0"/>
      <w:divBdr>
        <w:top w:val="none" w:sz="0" w:space="0" w:color="auto"/>
        <w:left w:val="none" w:sz="0" w:space="0" w:color="auto"/>
        <w:bottom w:val="none" w:sz="0" w:space="0" w:color="auto"/>
        <w:right w:val="none" w:sz="0" w:space="0" w:color="auto"/>
      </w:divBdr>
    </w:div>
    <w:div w:id="746734600">
      <w:bodyDiv w:val="1"/>
      <w:marLeft w:val="0"/>
      <w:marRight w:val="0"/>
      <w:marTop w:val="0"/>
      <w:marBottom w:val="0"/>
      <w:divBdr>
        <w:top w:val="none" w:sz="0" w:space="0" w:color="auto"/>
        <w:left w:val="none" w:sz="0" w:space="0" w:color="auto"/>
        <w:bottom w:val="none" w:sz="0" w:space="0" w:color="auto"/>
        <w:right w:val="none" w:sz="0" w:space="0" w:color="auto"/>
      </w:divBdr>
    </w:div>
    <w:div w:id="808746960">
      <w:bodyDiv w:val="1"/>
      <w:marLeft w:val="0"/>
      <w:marRight w:val="0"/>
      <w:marTop w:val="0"/>
      <w:marBottom w:val="0"/>
      <w:divBdr>
        <w:top w:val="none" w:sz="0" w:space="0" w:color="auto"/>
        <w:left w:val="none" w:sz="0" w:space="0" w:color="auto"/>
        <w:bottom w:val="none" w:sz="0" w:space="0" w:color="auto"/>
        <w:right w:val="none" w:sz="0" w:space="0" w:color="auto"/>
      </w:divBdr>
    </w:div>
    <w:div w:id="823551549">
      <w:bodyDiv w:val="1"/>
      <w:marLeft w:val="0"/>
      <w:marRight w:val="0"/>
      <w:marTop w:val="0"/>
      <w:marBottom w:val="0"/>
      <w:divBdr>
        <w:top w:val="none" w:sz="0" w:space="0" w:color="auto"/>
        <w:left w:val="none" w:sz="0" w:space="0" w:color="auto"/>
        <w:bottom w:val="none" w:sz="0" w:space="0" w:color="auto"/>
        <w:right w:val="none" w:sz="0" w:space="0" w:color="auto"/>
      </w:divBdr>
    </w:div>
    <w:div w:id="834882021">
      <w:bodyDiv w:val="1"/>
      <w:marLeft w:val="0"/>
      <w:marRight w:val="0"/>
      <w:marTop w:val="0"/>
      <w:marBottom w:val="0"/>
      <w:divBdr>
        <w:top w:val="none" w:sz="0" w:space="0" w:color="auto"/>
        <w:left w:val="none" w:sz="0" w:space="0" w:color="auto"/>
        <w:bottom w:val="none" w:sz="0" w:space="0" w:color="auto"/>
        <w:right w:val="none" w:sz="0" w:space="0" w:color="auto"/>
      </w:divBdr>
      <w:divsChild>
        <w:div w:id="938753500">
          <w:marLeft w:val="0"/>
          <w:marRight w:val="0"/>
          <w:marTop w:val="0"/>
          <w:marBottom w:val="0"/>
          <w:divBdr>
            <w:top w:val="none" w:sz="0" w:space="0" w:color="auto"/>
            <w:left w:val="none" w:sz="0" w:space="0" w:color="auto"/>
            <w:bottom w:val="none" w:sz="0" w:space="0" w:color="auto"/>
            <w:right w:val="none" w:sz="0" w:space="0" w:color="auto"/>
          </w:divBdr>
        </w:div>
      </w:divsChild>
    </w:div>
    <w:div w:id="842017077">
      <w:bodyDiv w:val="1"/>
      <w:marLeft w:val="0"/>
      <w:marRight w:val="0"/>
      <w:marTop w:val="0"/>
      <w:marBottom w:val="0"/>
      <w:divBdr>
        <w:top w:val="none" w:sz="0" w:space="0" w:color="auto"/>
        <w:left w:val="none" w:sz="0" w:space="0" w:color="auto"/>
        <w:bottom w:val="none" w:sz="0" w:space="0" w:color="auto"/>
        <w:right w:val="none" w:sz="0" w:space="0" w:color="auto"/>
      </w:divBdr>
    </w:div>
    <w:div w:id="842277167">
      <w:bodyDiv w:val="1"/>
      <w:marLeft w:val="0"/>
      <w:marRight w:val="0"/>
      <w:marTop w:val="0"/>
      <w:marBottom w:val="0"/>
      <w:divBdr>
        <w:top w:val="none" w:sz="0" w:space="0" w:color="auto"/>
        <w:left w:val="none" w:sz="0" w:space="0" w:color="auto"/>
        <w:bottom w:val="none" w:sz="0" w:space="0" w:color="auto"/>
        <w:right w:val="none" w:sz="0" w:space="0" w:color="auto"/>
      </w:divBdr>
    </w:div>
    <w:div w:id="862981966">
      <w:bodyDiv w:val="1"/>
      <w:marLeft w:val="0"/>
      <w:marRight w:val="0"/>
      <w:marTop w:val="0"/>
      <w:marBottom w:val="0"/>
      <w:divBdr>
        <w:top w:val="none" w:sz="0" w:space="0" w:color="auto"/>
        <w:left w:val="none" w:sz="0" w:space="0" w:color="auto"/>
        <w:bottom w:val="none" w:sz="0" w:space="0" w:color="auto"/>
        <w:right w:val="none" w:sz="0" w:space="0" w:color="auto"/>
      </w:divBdr>
    </w:div>
    <w:div w:id="865676878">
      <w:bodyDiv w:val="1"/>
      <w:marLeft w:val="0"/>
      <w:marRight w:val="0"/>
      <w:marTop w:val="0"/>
      <w:marBottom w:val="0"/>
      <w:divBdr>
        <w:top w:val="none" w:sz="0" w:space="0" w:color="auto"/>
        <w:left w:val="none" w:sz="0" w:space="0" w:color="auto"/>
        <w:bottom w:val="none" w:sz="0" w:space="0" w:color="auto"/>
        <w:right w:val="none" w:sz="0" w:space="0" w:color="auto"/>
      </w:divBdr>
    </w:div>
    <w:div w:id="891844684">
      <w:bodyDiv w:val="1"/>
      <w:marLeft w:val="0"/>
      <w:marRight w:val="0"/>
      <w:marTop w:val="0"/>
      <w:marBottom w:val="0"/>
      <w:divBdr>
        <w:top w:val="none" w:sz="0" w:space="0" w:color="auto"/>
        <w:left w:val="none" w:sz="0" w:space="0" w:color="auto"/>
        <w:bottom w:val="none" w:sz="0" w:space="0" w:color="auto"/>
        <w:right w:val="none" w:sz="0" w:space="0" w:color="auto"/>
      </w:divBdr>
    </w:div>
    <w:div w:id="900361392">
      <w:bodyDiv w:val="1"/>
      <w:marLeft w:val="0"/>
      <w:marRight w:val="0"/>
      <w:marTop w:val="0"/>
      <w:marBottom w:val="0"/>
      <w:divBdr>
        <w:top w:val="none" w:sz="0" w:space="0" w:color="auto"/>
        <w:left w:val="none" w:sz="0" w:space="0" w:color="auto"/>
        <w:bottom w:val="none" w:sz="0" w:space="0" w:color="auto"/>
        <w:right w:val="none" w:sz="0" w:space="0" w:color="auto"/>
      </w:divBdr>
    </w:div>
    <w:div w:id="943463760">
      <w:bodyDiv w:val="1"/>
      <w:marLeft w:val="0"/>
      <w:marRight w:val="0"/>
      <w:marTop w:val="0"/>
      <w:marBottom w:val="0"/>
      <w:divBdr>
        <w:top w:val="none" w:sz="0" w:space="0" w:color="auto"/>
        <w:left w:val="none" w:sz="0" w:space="0" w:color="auto"/>
        <w:bottom w:val="none" w:sz="0" w:space="0" w:color="auto"/>
        <w:right w:val="none" w:sz="0" w:space="0" w:color="auto"/>
      </w:divBdr>
    </w:div>
    <w:div w:id="954367997">
      <w:bodyDiv w:val="1"/>
      <w:marLeft w:val="0"/>
      <w:marRight w:val="0"/>
      <w:marTop w:val="0"/>
      <w:marBottom w:val="0"/>
      <w:divBdr>
        <w:top w:val="none" w:sz="0" w:space="0" w:color="auto"/>
        <w:left w:val="none" w:sz="0" w:space="0" w:color="auto"/>
        <w:bottom w:val="none" w:sz="0" w:space="0" w:color="auto"/>
        <w:right w:val="none" w:sz="0" w:space="0" w:color="auto"/>
      </w:divBdr>
    </w:div>
    <w:div w:id="977687606">
      <w:bodyDiv w:val="1"/>
      <w:marLeft w:val="0"/>
      <w:marRight w:val="0"/>
      <w:marTop w:val="0"/>
      <w:marBottom w:val="0"/>
      <w:divBdr>
        <w:top w:val="none" w:sz="0" w:space="0" w:color="auto"/>
        <w:left w:val="none" w:sz="0" w:space="0" w:color="auto"/>
        <w:bottom w:val="none" w:sz="0" w:space="0" w:color="auto"/>
        <w:right w:val="none" w:sz="0" w:space="0" w:color="auto"/>
      </w:divBdr>
    </w:div>
    <w:div w:id="1004938617">
      <w:bodyDiv w:val="1"/>
      <w:marLeft w:val="0"/>
      <w:marRight w:val="0"/>
      <w:marTop w:val="0"/>
      <w:marBottom w:val="0"/>
      <w:divBdr>
        <w:top w:val="none" w:sz="0" w:space="0" w:color="auto"/>
        <w:left w:val="none" w:sz="0" w:space="0" w:color="auto"/>
        <w:bottom w:val="none" w:sz="0" w:space="0" w:color="auto"/>
        <w:right w:val="none" w:sz="0" w:space="0" w:color="auto"/>
      </w:divBdr>
      <w:divsChild>
        <w:div w:id="497498451">
          <w:marLeft w:val="0"/>
          <w:marRight w:val="0"/>
          <w:marTop w:val="0"/>
          <w:marBottom w:val="0"/>
          <w:divBdr>
            <w:top w:val="none" w:sz="0" w:space="0" w:color="auto"/>
            <w:left w:val="none" w:sz="0" w:space="0" w:color="auto"/>
            <w:bottom w:val="none" w:sz="0" w:space="0" w:color="auto"/>
            <w:right w:val="none" w:sz="0" w:space="0" w:color="auto"/>
          </w:divBdr>
        </w:div>
      </w:divsChild>
    </w:div>
    <w:div w:id="1022048832">
      <w:bodyDiv w:val="1"/>
      <w:marLeft w:val="0"/>
      <w:marRight w:val="0"/>
      <w:marTop w:val="0"/>
      <w:marBottom w:val="0"/>
      <w:divBdr>
        <w:top w:val="none" w:sz="0" w:space="0" w:color="auto"/>
        <w:left w:val="none" w:sz="0" w:space="0" w:color="auto"/>
        <w:bottom w:val="none" w:sz="0" w:space="0" w:color="auto"/>
        <w:right w:val="none" w:sz="0" w:space="0" w:color="auto"/>
      </w:divBdr>
    </w:div>
    <w:div w:id="1032144384">
      <w:bodyDiv w:val="1"/>
      <w:marLeft w:val="0"/>
      <w:marRight w:val="0"/>
      <w:marTop w:val="0"/>
      <w:marBottom w:val="0"/>
      <w:divBdr>
        <w:top w:val="none" w:sz="0" w:space="0" w:color="auto"/>
        <w:left w:val="none" w:sz="0" w:space="0" w:color="auto"/>
        <w:bottom w:val="none" w:sz="0" w:space="0" w:color="auto"/>
        <w:right w:val="none" w:sz="0" w:space="0" w:color="auto"/>
      </w:divBdr>
    </w:div>
    <w:div w:id="1057515357">
      <w:bodyDiv w:val="1"/>
      <w:marLeft w:val="0"/>
      <w:marRight w:val="0"/>
      <w:marTop w:val="0"/>
      <w:marBottom w:val="0"/>
      <w:divBdr>
        <w:top w:val="none" w:sz="0" w:space="0" w:color="auto"/>
        <w:left w:val="none" w:sz="0" w:space="0" w:color="auto"/>
        <w:bottom w:val="none" w:sz="0" w:space="0" w:color="auto"/>
        <w:right w:val="none" w:sz="0" w:space="0" w:color="auto"/>
      </w:divBdr>
    </w:div>
    <w:div w:id="1059743427">
      <w:bodyDiv w:val="1"/>
      <w:marLeft w:val="0"/>
      <w:marRight w:val="0"/>
      <w:marTop w:val="0"/>
      <w:marBottom w:val="0"/>
      <w:divBdr>
        <w:top w:val="none" w:sz="0" w:space="0" w:color="auto"/>
        <w:left w:val="none" w:sz="0" w:space="0" w:color="auto"/>
        <w:bottom w:val="none" w:sz="0" w:space="0" w:color="auto"/>
        <w:right w:val="none" w:sz="0" w:space="0" w:color="auto"/>
      </w:divBdr>
    </w:div>
    <w:div w:id="1073116074">
      <w:bodyDiv w:val="1"/>
      <w:marLeft w:val="0"/>
      <w:marRight w:val="0"/>
      <w:marTop w:val="0"/>
      <w:marBottom w:val="0"/>
      <w:divBdr>
        <w:top w:val="none" w:sz="0" w:space="0" w:color="auto"/>
        <w:left w:val="none" w:sz="0" w:space="0" w:color="auto"/>
        <w:bottom w:val="none" w:sz="0" w:space="0" w:color="auto"/>
        <w:right w:val="none" w:sz="0" w:space="0" w:color="auto"/>
      </w:divBdr>
    </w:div>
    <w:div w:id="1236474581">
      <w:bodyDiv w:val="1"/>
      <w:marLeft w:val="0"/>
      <w:marRight w:val="0"/>
      <w:marTop w:val="0"/>
      <w:marBottom w:val="0"/>
      <w:divBdr>
        <w:top w:val="none" w:sz="0" w:space="0" w:color="auto"/>
        <w:left w:val="none" w:sz="0" w:space="0" w:color="auto"/>
        <w:bottom w:val="none" w:sz="0" w:space="0" w:color="auto"/>
        <w:right w:val="none" w:sz="0" w:space="0" w:color="auto"/>
      </w:divBdr>
    </w:div>
    <w:div w:id="1262107401">
      <w:bodyDiv w:val="1"/>
      <w:marLeft w:val="0"/>
      <w:marRight w:val="0"/>
      <w:marTop w:val="0"/>
      <w:marBottom w:val="0"/>
      <w:divBdr>
        <w:top w:val="none" w:sz="0" w:space="0" w:color="auto"/>
        <w:left w:val="none" w:sz="0" w:space="0" w:color="auto"/>
        <w:bottom w:val="none" w:sz="0" w:space="0" w:color="auto"/>
        <w:right w:val="none" w:sz="0" w:space="0" w:color="auto"/>
      </w:divBdr>
    </w:div>
    <w:div w:id="1279336701">
      <w:bodyDiv w:val="1"/>
      <w:marLeft w:val="0"/>
      <w:marRight w:val="0"/>
      <w:marTop w:val="0"/>
      <w:marBottom w:val="0"/>
      <w:divBdr>
        <w:top w:val="none" w:sz="0" w:space="0" w:color="auto"/>
        <w:left w:val="none" w:sz="0" w:space="0" w:color="auto"/>
        <w:bottom w:val="none" w:sz="0" w:space="0" w:color="auto"/>
        <w:right w:val="none" w:sz="0" w:space="0" w:color="auto"/>
      </w:divBdr>
    </w:div>
    <w:div w:id="1293097714">
      <w:bodyDiv w:val="1"/>
      <w:marLeft w:val="0"/>
      <w:marRight w:val="0"/>
      <w:marTop w:val="0"/>
      <w:marBottom w:val="0"/>
      <w:divBdr>
        <w:top w:val="none" w:sz="0" w:space="0" w:color="auto"/>
        <w:left w:val="none" w:sz="0" w:space="0" w:color="auto"/>
        <w:bottom w:val="none" w:sz="0" w:space="0" w:color="auto"/>
        <w:right w:val="none" w:sz="0" w:space="0" w:color="auto"/>
      </w:divBdr>
    </w:div>
    <w:div w:id="1298948749">
      <w:bodyDiv w:val="1"/>
      <w:marLeft w:val="0"/>
      <w:marRight w:val="0"/>
      <w:marTop w:val="0"/>
      <w:marBottom w:val="0"/>
      <w:divBdr>
        <w:top w:val="none" w:sz="0" w:space="0" w:color="auto"/>
        <w:left w:val="none" w:sz="0" w:space="0" w:color="auto"/>
        <w:bottom w:val="none" w:sz="0" w:space="0" w:color="auto"/>
        <w:right w:val="none" w:sz="0" w:space="0" w:color="auto"/>
      </w:divBdr>
    </w:div>
    <w:div w:id="1303004549">
      <w:bodyDiv w:val="1"/>
      <w:marLeft w:val="0"/>
      <w:marRight w:val="0"/>
      <w:marTop w:val="0"/>
      <w:marBottom w:val="0"/>
      <w:divBdr>
        <w:top w:val="none" w:sz="0" w:space="0" w:color="auto"/>
        <w:left w:val="none" w:sz="0" w:space="0" w:color="auto"/>
        <w:bottom w:val="none" w:sz="0" w:space="0" w:color="auto"/>
        <w:right w:val="none" w:sz="0" w:space="0" w:color="auto"/>
      </w:divBdr>
    </w:div>
    <w:div w:id="1339622549">
      <w:bodyDiv w:val="1"/>
      <w:marLeft w:val="0"/>
      <w:marRight w:val="0"/>
      <w:marTop w:val="0"/>
      <w:marBottom w:val="0"/>
      <w:divBdr>
        <w:top w:val="none" w:sz="0" w:space="0" w:color="auto"/>
        <w:left w:val="none" w:sz="0" w:space="0" w:color="auto"/>
        <w:bottom w:val="none" w:sz="0" w:space="0" w:color="auto"/>
        <w:right w:val="none" w:sz="0" w:space="0" w:color="auto"/>
      </w:divBdr>
      <w:divsChild>
        <w:div w:id="1072506137">
          <w:marLeft w:val="0"/>
          <w:marRight w:val="0"/>
          <w:marTop w:val="0"/>
          <w:marBottom w:val="0"/>
          <w:divBdr>
            <w:top w:val="none" w:sz="0" w:space="0" w:color="auto"/>
            <w:left w:val="none" w:sz="0" w:space="0" w:color="auto"/>
            <w:bottom w:val="none" w:sz="0" w:space="0" w:color="auto"/>
            <w:right w:val="none" w:sz="0" w:space="0" w:color="auto"/>
          </w:divBdr>
        </w:div>
      </w:divsChild>
    </w:div>
    <w:div w:id="1369066103">
      <w:bodyDiv w:val="1"/>
      <w:marLeft w:val="0"/>
      <w:marRight w:val="0"/>
      <w:marTop w:val="0"/>
      <w:marBottom w:val="0"/>
      <w:divBdr>
        <w:top w:val="none" w:sz="0" w:space="0" w:color="auto"/>
        <w:left w:val="none" w:sz="0" w:space="0" w:color="auto"/>
        <w:bottom w:val="none" w:sz="0" w:space="0" w:color="auto"/>
        <w:right w:val="none" w:sz="0" w:space="0" w:color="auto"/>
      </w:divBdr>
    </w:div>
    <w:div w:id="1400010476">
      <w:bodyDiv w:val="1"/>
      <w:marLeft w:val="0"/>
      <w:marRight w:val="0"/>
      <w:marTop w:val="0"/>
      <w:marBottom w:val="0"/>
      <w:divBdr>
        <w:top w:val="none" w:sz="0" w:space="0" w:color="auto"/>
        <w:left w:val="none" w:sz="0" w:space="0" w:color="auto"/>
        <w:bottom w:val="none" w:sz="0" w:space="0" w:color="auto"/>
        <w:right w:val="none" w:sz="0" w:space="0" w:color="auto"/>
      </w:divBdr>
      <w:divsChild>
        <w:div w:id="1149981060">
          <w:marLeft w:val="0"/>
          <w:marRight w:val="0"/>
          <w:marTop w:val="0"/>
          <w:marBottom w:val="0"/>
          <w:divBdr>
            <w:top w:val="none" w:sz="0" w:space="0" w:color="auto"/>
            <w:left w:val="none" w:sz="0" w:space="0" w:color="auto"/>
            <w:bottom w:val="none" w:sz="0" w:space="0" w:color="auto"/>
            <w:right w:val="none" w:sz="0" w:space="0" w:color="auto"/>
          </w:divBdr>
        </w:div>
      </w:divsChild>
    </w:div>
    <w:div w:id="1409842387">
      <w:bodyDiv w:val="1"/>
      <w:marLeft w:val="0"/>
      <w:marRight w:val="0"/>
      <w:marTop w:val="0"/>
      <w:marBottom w:val="0"/>
      <w:divBdr>
        <w:top w:val="none" w:sz="0" w:space="0" w:color="auto"/>
        <w:left w:val="none" w:sz="0" w:space="0" w:color="auto"/>
        <w:bottom w:val="none" w:sz="0" w:space="0" w:color="auto"/>
        <w:right w:val="none" w:sz="0" w:space="0" w:color="auto"/>
      </w:divBdr>
      <w:divsChild>
        <w:div w:id="371536415">
          <w:marLeft w:val="0"/>
          <w:marRight w:val="0"/>
          <w:marTop w:val="0"/>
          <w:marBottom w:val="0"/>
          <w:divBdr>
            <w:top w:val="none" w:sz="0" w:space="0" w:color="auto"/>
            <w:left w:val="none" w:sz="0" w:space="0" w:color="auto"/>
            <w:bottom w:val="none" w:sz="0" w:space="0" w:color="auto"/>
            <w:right w:val="none" w:sz="0" w:space="0" w:color="auto"/>
          </w:divBdr>
        </w:div>
      </w:divsChild>
    </w:div>
    <w:div w:id="1426925346">
      <w:bodyDiv w:val="1"/>
      <w:marLeft w:val="0"/>
      <w:marRight w:val="0"/>
      <w:marTop w:val="0"/>
      <w:marBottom w:val="0"/>
      <w:divBdr>
        <w:top w:val="none" w:sz="0" w:space="0" w:color="auto"/>
        <w:left w:val="none" w:sz="0" w:space="0" w:color="auto"/>
        <w:bottom w:val="none" w:sz="0" w:space="0" w:color="auto"/>
        <w:right w:val="none" w:sz="0" w:space="0" w:color="auto"/>
      </w:divBdr>
    </w:div>
    <w:div w:id="1440175442">
      <w:bodyDiv w:val="1"/>
      <w:marLeft w:val="0"/>
      <w:marRight w:val="0"/>
      <w:marTop w:val="0"/>
      <w:marBottom w:val="0"/>
      <w:divBdr>
        <w:top w:val="none" w:sz="0" w:space="0" w:color="auto"/>
        <w:left w:val="none" w:sz="0" w:space="0" w:color="auto"/>
        <w:bottom w:val="none" w:sz="0" w:space="0" w:color="auto"/>
        <w:right w:val="none" w:sz="0" w:space="0" w:color="auto"/>
      </w:divBdr>
    </w:div>
    <w:div w:id="1447964497">
      <w:bodyDiv w:val="1"/>
      <w:marLeft w:val="0"/>
      <w:marRight w:val="0"/>
      <w:marTop w:val="0"/>
      <w:marBottom w:val="0"/>
      <w:divBdr>
        <w:top w:val="none" w:sz="0" w:space="0" w:color="auto"/>
        <w:left w:val="none" w:sz="0" w:space="0" w:color="auto"/>
        <w:bottom w:val="none" w:sz="0" w:space="0" w:color="auto"/>
        <w:right w:val="none" w:sz="0" w:space="0" w:color="auto"/>
      </w:divBdr>
    </w:div>
    <w:div w:id="1459950856">
      <w:bodyDiv w:val="1"/>
      <w:marLeft w:val="0"/>
      <w:marRight w:val="0"/>
      <w:marTop w:val="0"/>
      <w:marBottom w:val="0"/>
      <w:divBdr>
        <w:top w:val="none" w:sz="0" w:space="0" w:color="auto"/>
        <w:left w:val="none" w:sz="0" w:space="0" w:color="auto"/>
        <w:bottom w:val="none" w:sz="0" w:space="0" w:color="auto"/>
        <w:right w:val="none" w:sz="0" w:space="0" w:color="auto"/>
      </w:divBdr>
    </w:div>
    <w:div w:id="1477995574">
      <w:bodyDiv w:val="1"/>
      <w:marLeft w:val="0"/>
      <w:marRight w:val="0"/>
      <w:marTop w:val="0"/>
      <w:marBottom w:val="0"/>
      <w:divBdr>
        <w:top w:val="none" w:sz="0" w:space="0" w:color="auto"/>
        <w:left w:val="none" w:sz="0" w:space="0" w:color="auto"/>
        <w:bottom w:val="none" w:sz="0" w:space="0" w:color="auto"/>
        <w:right w:val="none" w:sz="0" w:space="0" w:color="auto"/>
      </w:divBdr>
      <w:divsChild>
        <w:div w:id="1384253286">
          <w:marLeft w:val="0"/>
          <w:marRight w:val="0"/>
          <w:marTop w:val="0"/>
          <w:marBottom w:val="0"/>
          <w:divBdr>
            <w:top w:val="none" w:sz="0" w:space="0" w:color="auto"/>
            <w:left w:val="none" w:sz="0" w:space="0" w:color="auto"/>
            <w:bottom w:val="none" w:sz="0" w:space="0" w:color="auto"/>
            <w:right w:val="none" w:sz="0" w:space="0" w:color="auto"/>
          </w:divBdr>
        </w:div>
      </w:divsChild>
    </w:div>
    <w:div w:id="1495150096">
      <w:bodyDiv w:val="1"/>
      <w:marLeft w:val="0"/>
      <w:marRight w:val="0"/>
      <w:marTop w:val="0"/>
      <w:marBottom w:val="0"/>
      <w:divBdr>
        <w:top w:val="none" w:sz="0" w:space="0" w:color="auto"/>
        <w:left w:val="none" w:sz="0" w:space="0" w:color="auto"/>
        <w:bottom w:val="none" w:sz="0" w:space="0" w:color="auto"/>
        <w:right w:val="none" w:sz="0" w:space="0" w:color="auto"/>
      </w:divBdr>
    </w:div>
    <w:div w:id="1526601910">
      <w:bodyDiv w:val="1"/>
      <w:marLeft w:val="0"/>
      <w:marRight w:val="0"/>
      <w:marTop w:val="0"/>
      <w:marBottom w:val="0"/>
      <w:divBdr>
        <w:top w:val="none" w:sz="0" w:space="0" w:color="auto"/>
        <w:left w:val="none" w:sz="0" w:space="0" w:color="auto"/>
        <w:bottom w:val="none" w:sz="0" w:space="0" w:color="auto"/>
        <w:right w:val="none" w:sz="0" w:space="0" w:color="auto"/>
      </w:divBdr>
    </w:div>
    <w:div w:id="1617254460">
      <w:bodyDiv w:val="1"/>
      <w:marLeft w:val="0"/>
      <w:marRight w:val="0"/>
      <w:marTop w:val="0"/>
      <w:marBottom w:val="0"/>
      <w:divBdr>
        <w:top w:val="none" w:sz="0" w:space="0" w:color="auto"/>
        <w:left w:val="none" w:sz="0" w:space="0" w:color="auto"/>
        <w:bottom w:val="none" w:sz="0" w:space="0" w:color="auto"/>
        <w:right w:val="none" w:sz="0" w:space="0" w:color="auto"/>
      </w:divBdr>
    </w:div>
    <w:div w:id="1620648863">
      <w:bodyDiv w:val="1"/>
      <w:marLeft w:val="0"/>
      <w:marRight w:val="0"/>
      <w:marTop w:val="0"/>
      <w:marBottom w:val="0"/>
      <w:divBdr>
        <w:top w:val="none" w:sz="0" w:space="0" w:color="auto"/>
        <w:left w:val="none" w:sz="0" w:space="0" w:color="auto"/>
        <w:bottom w:val="none" w:sz="0" w:space="0" w:color="auto"/>
        <w:right w:val="none" w:sz="0" w:space="0" w:color="auto"/>
      </w:divBdr>
    </w:div>
    <w:div w:id="1644655003">
      <w:bodyDiv w:val="1"/>
      <w:marLeft w:val="0"/>
      <w:marRight w:val="0"/>
      <w:marTop w:val="0"/>
      <w:marBottom w:val="0"/>
      <w:divBdr>
        <w:top w:val="none" w:sz="0" w:space="0" w:color="auto"/>
        <w:left w:val="none" w:sz="0" w:space="0" w:color="auto"/>
        <w:bottom w:val="none" w:sz="0" w:space="0" w:color="auto"/>
        <w:right w:val="none" w:sz="0" w:space="0" w:color="auto"/>
      </w:divBdr>
    </w:div>
    <w:div w:id="1705860837">
      <w:bodyDiv w:val="1"/>
      <w:marLeft w:val="0"/>
      <w:marRight w:val="0"/>
      <w:marTop w:val="0"/>
      <w:marBottom w:val="0"/>
      <w:divBdr>
        <w:top w:val="none" w:sz="0" w:space="0" w:color="auto"/>
        <w:left w:val="none" w:sz="0" w:space="0" w:color="auto"/>
        <w:bottom w:val="none" w:sz="0" w:space="0" w:color="auto"/>
        <w:right w:val="none" w:sz="0" w:space="0" w:color="auto"/>
      </w:divBdr>
    </w:div>
    <w:div w:id="1732540559">
      <w:bodyDiv w:val="1"/>
      <w:marLeft w:val="0"/>
      <w:marRight w:val="0"/>
      <w:marTop w:val="0"/>
      <w:marBottom w:val="0"/>
      <w:divBdr>
        <w:top w:val="none" w:sz="0" w:space="0" w:color="auto"/>
        <w:left w:val="none" w:sz="0" w:space="0" w:color="auto"/>
        <w:bottom w:val="none" w:sz="0" w:space="0" w:color="auto"/>
        <w:right w:val="none" w:sz="0" w:space="0" w:color="auto"/>
      </w:divBdr>
    </w:div>
    <w:div w:id="1745372769">
      <w:bodyDiv w:val="1"/>
      <w:marLeft w:val="0"/>
      <w:marRight w:val="0"/>
      <w:marTop w:val="0"/>
      <w:marBottom w:val="0"/>
      <w:divBdr>
        <w:top w:val="none" w:sz="0" w:space="0" w:color="auto"/>
        <w:left w:val="none" w:sz="0" w:space="0" w:color="auto"/>
        <w:bottom w:val="none" w:sz="0" w:space="0" w:color="auto"/>
        <w:right w:val="none" w:sz="0" w:space="0" w:color="auto"/>
      </w:divBdr>
    </w:div>
    <w:div w:id="1819760713">
      <w:bodyDiv w:val="1"/>
      <w:marLeft w:val="0"/>
      <w:marRight w:val="0"/>
      <w:marTop w:val="0"/>
      <w:marBottom w:val="0"/>
      <w:divBdr>
        <w:top w:val="none" w:sz="0" w:space="0" w:color="auto"/>
        <w:left w:val="none" w:sz="0" w:space="0" w:color="auto"/>
        <w:bottom w:val="none" w:sz="0" w:space="0" w:color="auto"/>
        <w:right w:val="none" w:sz="0" w:space="0" w:color="auto"/>
      </w:divBdr>
    </w:div>
    <w:div w:id="1821535425">
      <w:bodyDiv w:val="1"/>
      <w:marLeft w:val="0"/>
      <w:marRight w:val="0"/>
      <w:marTop w:val="0"/>
      <w:marBottom w:val="0"/>
      <w:divBdr>
        <w:top w:val="none" w:sz="0" w:space="0" w:color="auto"/>
        <w:left w:val="none" w:sz="0" w:space="0" w:color="auto"/>
        <w:bottom w:val="none" w:sz="0" w:space="0" w:color="auto"/>
        <w:right w:val="none" w:sz="0" w:space="0" w:color="auto"/>
      </w:divBdr>
    </w:div>
    <w:div w:id="1894268629">
      <w:bodyDiv w:val="1"/>
      <w:marLeft w:val="0"/>
      <w:marRight w:val="0"/>
      <w:marTop w:val="0"/>
      <w:marBottom w:val="0"/>
      <w:divBdr>
        <w:top w:val="none" w:sz="0" w:space="0" w:color="auto"/>
        <w:left w:val="none" w:sz="0" w:space="0" w:color="auto"/>
        <w:bottom w:val="none" w:sz="0" w:space="0" w:color="auto"/>
        <w:right w:val="none" w:sz="0" w:space="0" w:color="auto"/>
      </w:divBdr>
    </w:div>
    <w:div w:id="1912351893">
      <w:bodyDiv w:val="1"/>
      <w:marLeft w:val="0"/>
      <w:marRight w:val="0"/>
      <w:marTop w:val="0"/>
      <w:marBottom w:val="0"/>
      <w:divBdr>
        <w:top w:val="none" w:sz="0" w:space="0" w:color="auto"/>
        <w:left w:val="none" w:sz="0" w:space="0" w:color="auto"/>
        <w:bottom w:val="none" w:sz="0" w:space="0" w:color="auto"/>
        <w:right w:val="none" w:sz="0" w:space="0" w:color="auto"/>
      </w:divBdr>
    </w:div>
    <w:div w:id="1924294947">
      <w:bodyDiv w:val="1"/>
      <w:marLeft w:val="0"/>
      <w:marRight w:val="0"/>
      <w:marTop w:val="0"/>
      <w:marBottom w:val="0"/>
      <w:divBdr>
        <w:top w:val="none" w:sz="0" w:space="0" w:color="auto"/>
        <w:left w:val="none" w:sz="0" w:space="0" w:color="auto"/>
        <w:bottom w:val="none" w:sz="0" w:space="0" w:color="auto"/>
        <w:right w:val="none" w:sz="0" w:space="0" w:color="auto"/>
      </w:divBdr>
    </w:div>
    <w:div w:id="1944454861">
      <w:bodyDiv w:val="1"/>
      <w:marLeft w:val="0"/>
      <w:marRight w:val="0"/>
      <w:marTop w:val="0"/>
      <w:marBottom w:val="0"/>
      <w:divBdr>
        <w:top w:val="none" w:sz="0" w:space="0" w:color="auto"/>
        <w:left w:val="none" w:sz="0" w:space="0" w:color="auto"/>
        <w:bottom w:val="none" w:sz="0" w:space="0" w:color="auto"/>
        <w:right w:val="none" w:sz="0" w:space="0" w:color="auto"/>
      </w:divBdr>
    </w:div>
    <w:div w:id="1973055562">
      <w:bodyDiv w:val="1"/>
      <w:marLeft w:val="0"/>
      <w:marRight w:val="0"/>
      <w:marTop w:val="0"/>
      <w:marBottom w:val="0"/>
      <w:divBdr>
        <w:top w:val="none" w:sz="0" w:space="0" w:color="auto"/>
        <w:left w:val="none" w:sz="0" w:space="0" w:color="auto"/>
        <w:bottom w:val="none" w:sz="0" w:space="0" w:color="auto"/>
        <w:right w:val="none" w:sz="0" w:space="0" w:color="auto"/>
      </w:divBdr>
    </w:div>
    <w:div w:id="2003390584">
      <w:bodyDiv w:val="1"/>
      <w:marLeft w:val="0"/>
      <w:marRight w:val="0"/>
      <w:marTop w:val="0"/>
      <w:marBottom w:val="0"/>
      <w:divBdr>
        <w:top w:val="none" w:sz="0" w:space="0" w:color="auto"/>
        <w:left w:val="none" w:sz="0" w:space="0" w:color="auto"/>
        <w:bottom w:val="none" w:sz="0" w:space="0" w:color="auto"/>
        <w:right w:val="none" w:sz="0" w:space="0" w:color="auto"/>
      </w:divBdr>
    </w:div>
    <w:div w:id="2008240927">
      <w:bodyDiv w:val="1"/>
      <w:marLeft w:val="0"/>
      <w:marRight w:val="0"/>
      <w:marTop w:val="0"/>
      <w:marBottom w:val="0"/>
      <w:divBdr>
        <w:top w:val="none" w:sz="0" w:space="0" w:color="auto"/>
        <w:left w:val="none" w:sz="0" w:space="0" w:color="auto"/>
        <w:bottom w:val="none" w:sz="0" w:space="0" w:color="auto"/>
        <w:right w:val="none" w:sz="0" w:space="0" w:color="auto"/>
      </w:divBdr>
    </w:div>
    <w:div w:id="2034184437">
      <w:bodyDiv w:val="1"/>
      <w:marLeft w:val="0"/>
      <w:marRight w:val="0"/>
      <w:marTop w:val="0"/>
      <w:marBottom w:val="0"/>
      <w:divBdr>
        <w:top w:val="none" w:sz="0" w:space="0" w:color="auto"/>
        <w:left w:val="none" w:sz="0" w:space="0" w:color="auto"/>
        <w:bottom w:val="none" w:sz="0" w:space="0" w:color="auto"/>
        <w:right w:val="none" w:sz="0" w:space="0" w:color="auto"/>
      </w:divBdr>
    </w:div>
    <w:div w:id="2060322507">
      <w:bodyDiv w:val="1"/>
      <w:marLeft w:val="0"/>
      <w:marRight w:val="0"/>
      <w:marTop w:val="0"/>
      <w:marBottom w:val="0"/>
      <w:divBdr>
        <w:top w:val="none" w:sz="0" w:space="0" w:color="auto"/>
        <w:left w:val="none" w:sz="0" w:space="0" w:color="auto"/>
        <w:bottom w:val="none" w:sz="0" w:space="0" w:color="auto"/>
        <w:right w:val="none" w:sz="0" w:space="0" w:color="auto"/>
      </w:divBdr>
    </w:div>
    <w:div w:id="2085256684">
      <w:bodyDiv w:val="1"/>
      <w:marLeft w:val="0"/>
      <w:marRight w:val="0"/>
      <w:marTop w:val="0"/>
      <w:marBottom w:val="0"/>
      <w:divBdr>
        <w:top w:val="none" w:sz="0" w:space="0" w:color="auto"/>
        <w:left w:val="none" w:sz="0" w:space="0" w:color="auto"/>
        <w:bottom w:val="none" w:sz="0" w:space="0" w:color="auto"/>
        <w:right w:val="none" w:sz="0" w:space="0" w:color="auto"/>
      </w:divBdr>
    </w:div>
    <w:div w:id="2086802139">
      <w:bodyDiv w:val="1"/>
      <w:marLeft w:val="0"/>
      <w:marRight w:val="0"/>
      <w:marTop w:val="0"/>
      <w:marBottom w:val="0"/>
      <w:divBdr>
        <w:top w:val="none" w:sz="0" w:space="0" w:color="auto"/>
        <w:left w:val="none" w:sz="0" w:space="0" w:color="auto"/>
        <w:bottom w:val="none" w:sz="0" w:space="0" w:color="auto"/>
        <w:right w:val="none" w:sz="0" w:space="0" w:color="auto"/>
      </w:divBdr>
    </w:div>
    <w:div w:id="2087915193">
      <w:bodyDiv w:val="1"/>
      <w:marLeft w:val="0"/>
      <w:marRight w:val="0"/>
      <w:marTop w:val="0"/>
      <w:marBottom w:val="0"/>
      <w:divBdr>
        <w:top w:val="none" w:sz="0" w:space="0" w:color="auto"/>
        <w:left w:val="none" w:sz="0" w:space="0" w:color="auto"/>
        <w:bottom w:val="none" w:sz="0" w:space="0" w:color="auto"/>
        <w:right w:val="none" w:sz="0" w:space="0" w:color="auto"/>
      </w:divBdr>
    </w:div>
    <w:div w:id="2118669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consult.health.govt.nz/regulatory-policy/putting-patients-first/"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32EB488438FF4CA9E70B5191C3A953" ma:contentTypeVersion="15" ma:contentTypeDescription="Create a new document." ma:contentTypeScope="" ma:versionID="95cd76cc681f7ecacaeeb20be3ec160c">
  <xsd:schema xmlns:xsd="http://www.w3.org/2001/XMLSchema" xmlns:xs="http://www.w3.org/2001/XMLSchema" xmlns:p="http://schemas.microsoft.com/office/2006/metadata/properties" xmlns:ns2="0fc3ca51-8560-41d8-b5d5-515bb90c1510" xmlns:ns3="0142b343-5f67-4a3e-a6e1-ee9eab7f24b1" targetNamespace="http://schemas.microsoft.com/office/2006/metadata/properties" ma:root="true" ma:fieldsID="58a7aa79359d39d3a8fc0a300c62333f" ns2:_="" ns3:_="">
    <xsd:import namespace="0fc3ca51-8560-41d8-b5d5-515bb90c1510"/>
    <xsd:import namespace="0142b343-5f67-4a3e-a6e1-ee9eab7f24b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c3ca51-8560-41d8-b5d5-515bb90c151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8d0bf46-381f-487c-b016-d83a4235511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42b343-5f67-4a3e-a6e1-ee9eab7f24b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3eb4ebe-b676-43ea-b0da-6f9cfdd76608}" ma:internalName="TaxCatchAll" ma:showField="CatchAllData" ma:web="0142b343-5f67-4a3e-a6e1-ee9eab7f24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142b343-5f67-4a3e-a6e1-ee9eab7f24b1" xsi:nil="true"/>
    <lcf76f155ced4ddcb4097134ff3c332f xmlns="0fc3ca51-8560-41d8-b5d5-515bb90c15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331814-B457-46B8-85F3-6863F56AD1C2}"/>
</file>

<file path=customXml/itemProps2.xml><?xml version="1.0" encoding="utf-8"?>
<ds:datastoreItem xmlns:ds="http://schemas.openxmlformats.org/officeDocument/2006/customXml" ds:itemID="{82DCE1BE-D5A4-40E5-8D19-E04A7646063C}"/>
</file>

<file path=customXml/itemProps3.xml><?xml version="1.0" encoding="utf-8"?>
<ds:datastoreItem xmlns:ds="http://schemas.openxmlformats.org/officeDocument/2006/customXml" ds:itemID="{1FC579A5-8FED-4A16-B2AB-F899DB5DFE97}"/>
</file>

<file path=docProps/app.xml><?xml version="1.0" encoding="utf-8"?>
<Properties xmlns="http://schemas.openxmlformats.org/officeDocument/2006/extended-properties" xmlns:vt="http://schemas.openxmlformats.org/officeDocument/2006/docPropsVTypes">
  <Template>Normal.dotm</Template>
  <TotalTime>1</TotalTime>
  <Pages>10</Pages>
  <Words>4695</Words>
  <Characters>26768</Characters>
  <Application>Microsoft Office Word</Application>
  <DocSecurity>4</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Peach</dc:creator>
  <cp:keywords/>
  <dc:description/>
  <cp:lastModifiedBy>College of Nurses-Member Services</cp:lastModifiedBy>
  <cp:revision>2</cp:revision>
  <dcterms:created xsi:type="dcterms:W3CDTF">2025-04-24T00:31:00Z</dcterms:created>
  <dcterms:modified xsi:type="dcterms:W3CDTF">2025-04-24T00:31:00Z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0x010100B032EB488438FF4CA9E70B5191C3A953</vt:lpwstr>
  </property>
</Properties>
</file>